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FD30" w14:textId="77777777" w:rsidR="00856B34" w:rsidRPr="00856B34" w:rsidRDefault="00856B34">
      <w:pPr>
        <w:rPr>
          <w:b/>
        </w:rPr>
      </w:pPr>
      <w:r w:rsidRPr="00856B34">
        <w:rPr>
          <w:b/>
        </w:rPr>
        <w:t>MENTION - ( zakar , Strong's H2142 )</w:t>
      </w:r>
    </w:p>
    <w:p w14:paraId="79A897DA" w14:textId="77777777" w:rsidR="00856B34" w:rsidRDefault="00856B34">
      <w:r w:rsidRPr="00856B34">
        <w:rPr>
          <w:b/>
        </w:rPr>
        <w:t>Summary:</w:t>
      </w:r>
    </w:p>
    <w:p w14:paraId="0575A782" w14:textId="77777777" w:rsidR="00856B34" w:rsidRDefault="00856B34">
      <w:r>
        <w:t>The Hebrew verb zakar fundamentally means to remember, recall, or call to mind. In the Hiphil (causative) stem used in Exodus 23:13, it means to cause to remember, make mention of, or invoke. In the ancient Near East, reciting a deity's name was not a mere vocal exercise but an act of invocation, worship, and alignment with that god's authority. By forbidding Israel from making "mention" of the names of other gods, Yahweh commands complete emotional, spiritual, and verbal exclusivity, ensuring that false gods are neither invoked in oaths nor given any place in the cognitive or worship life of His covenant people.</w:t>
      </w:r>
    </w:p>
    <w:p w14:paraId="79C81209" w14:textId="77777777" w:rsidR="00856B34" w:rsidRDefault="00856B34"/>
    <w:p w14:paraId="51759015" w14:textId="77777777" w:rsidR="00856B34" w:rsidRDefault="00856B34">
      <w:r w:rsidRPr="00856B34">
        <w:rPr>
          <w:b/>
        </w:rPr>
        <w:t>Full Study:</w:t>
      </w:r>
    </w:p>
    <w:p w14:paraId="7EFF306E" w14:textId="77777777" w:rsidR="00856B34" w:rsidRDefault="00856B34"/>
    <w:p w14:paraId="3EA25F99" w14:textId="77777777" w:rsidR="00856B34" w:rsidRPr="00856B34" w:rsidRDefault="00856B34">
      <w:pPr>
        <w:rPr>
          <w:b/>
        </w:rPr>
      </w:pPr>
      <w:r w:rsidRPr="00856B34">
        <w:rPr>
          <w:b/>
        </w:rPr>
        <w:t>1. Word Picture / Background</w:t>
      </w:r>
    </w:p>
    <w:p w14:paraId="4BE12ABB" w14:textId="77777777" w:rsidR="00856B34" w:rsidRDefault="00856B34">
      <w:r>
        <w:t>In ancient Semitic culture, a name (shem) was inextricably linked to a person's character, presence, and power. To "mention" (zakar) a name was to summon that presence or invoke that authority, particularly in legal transactions, covenants, or oaths. The root zakar carries the physical concept of speaking aloud or marking something so that it remains present in the mind. It is not merely passive mental recollection but active verbal declaration.</w:t>
      </w:r>
    </w:p>
    <w:p w14:paraId="32A6DB0C" w14:textId="77777777" w:rsidR="00856B34" w:rsidRDefault="00856B34"/>
    <w:p w14:paraId="747405F1" w14:textId="77777777" w:rsidR="00856B34" w:rsidRPr="00856B34" w:rsidRDefault="00856B34">
      <w:pPr>
        <w:rPr>
          <w:b/>
        </w:rPr>
      </w:pPr>
      <w:r w:rsidRPr="00856B34">
        <w:rPr>
          <w:b/>
        </w:rPr>
        <w:t>2. Meaning / Lexical Definition</w:t>
      </w:r>
    </w:p>
    <w:p w14:paraId="13B1668F" w14:textId="77777777" w:rsidR="00856B34" w:rsidRDefault="00856B34">
      <w:r>
        <w:t>• zakar is a primary verb occurring over 230 times in the Old Testament.</w:t>
      </w:r>
    </w:p>
    <w:p w14:paraId="0D1D68D3" w14:textId="77777777" w:rsidR="00856B34" w:rsidRDefault="00856B34">
      <w:r>
        <w:t>• In the Qal stem, it means to remember, think about, or recall to mind.</w:t>
      </w:r>
    </w:p>
    <w:p w14:paraId="28C02F74" w14:textId="77777777" w:rsidR="00856B34" w:rsidRDefault="00856B34">
      <w:r>
        <w:t>• In the Hiphil stem (as in Exodus 23:13), it means to cause to remember, make mention of, commemorate, invoke, or confess.</w:t>
      </w:r>
    </w:p>
    <w:p w14:paraId="3BF04C5A" w14:textId="77777777" w:rsidR="00856B34" w:rsidRDefault="00856B34">
      <w:r>
        <w:t>• The lexical meaning in this specific context is the verbal invocation or public naming of pagan deities, particularly in the context of taking oaths or swearing.</w:t>
      </w:r>
    </w:p>
    <w:p w14:paraId="076C6CE3" w14:textId="77777777" w:rsidR="00856B34" w:rsidRDefault="00856B34"/>
    <w:p w14:paraId="5D362179" w14:textId="77777777" w:rsidR="00856B34" w:rsidRPr="00856B34" w:rsidRDefault="00856B34">
      <w:pPr>
        <w:rPr>
          <w:b/>
        </w:rPr>
      </w:pPr>
      <w:r w:rsidRPr="00856B34">
        <w:rPr>
          <w:b/>
        </w:rPr>
        <w:t>3. Usage and Word Pictures</w:t>
      </w:r>
    </w:p>
    <w:p w14:paraId="52213C59" w14:textId="77777777" w:rsidR="00856B34" w:rsidRDefault="00856B34">
      <w:r>
        <w:t>• In the Old Testament, remembering is linked with action. When God "remembers" Noah (Genesis 8:1) or Abraham (Genesis 19:29), He acts on their behalf. Conversely, for humans to "remember" or "mention" God is to worship Him and obey His laws.</w:t>
      </w:r>
    </w:p>
    <w:p w14:paraId="291A1423" w14:textId="77777777" w:rsidR="00856B34" w:rsidRDefault="00856B34">
      <w:r>
        <w:t>• The word picture associated with zakar in the Hiphil is that of a "remembrancer" or "recorder" (e.g., mazkir, often translated as "recorder" or "historian" in the royal courts of David and Solomon). It suggests keeping a name alive in public memory. To not make mention of other gods means to let their names sink into absolute oblivion and legal non-existence.</w:t>
      </w:r>
    </w:p>
    <w:p w14:paraId="12AAC373" w14:textId="77777777" w:rsidR="00856B34" w:rsidRDefault="00856B34"/>
    <w:p w14:paraId="20435D37" w14:textId="77777777" w:rsidR="00856B34" w:rsidRPr="00856B34" w:rsidRDefault="00856B34">
      <w:pPr>
        <w:rPr>
          <w:b/>
        </w:rPr>
      </w:pPr>
      <w:r w:rsidRPr="00856B34">
        <w:rPr>
          <w:b/>
        </w:rPr>
        <w:t>4. Theological Implications</w:t>
      </w:r>
    </w:p>
    <w:p w14:paraId="14C2F447" w14:textId="77777777" w:rsidR="00856B34" w:rsidRDefault="00856B34">
      <w:r>
        <w:t>• Monolatry and Covenant Fidelity: Yahweh demands exclusive devotion. Mentioning other gods in oaths implies recognizing their existence and authority, which directly violates the First and Second Commandments.</w:t>
      </w:r>
    </w:p>
    <w:p w14:paraId="31487CF7" w14:textId="77777777" w:rsidR="00856B34" w:rsidRDefault="00856B34">
      <w:r>
        <w:t>• The Power of the Tongue: Verbalizing the names of false gods is the first step toward accommodating their worship. Holy speech is a prerequisite for a holy life.</w:t>
      </w:r>
    </w:p>
    <w:p w14:paraId="2134CE4E" w14:textId="77777777" w:rsidR="00856B34" w:rsidRDefault="00856B34">
      <w:r>
        <w:t>• God’s Name vs. Idols' Names: While Yahweh commands His people to remember and make mention of His name (Psalm 20:7), He commands total silence regarding the names of competitors.</w:t>
      </w:r>
    </w:p>
    <w:p w14:paraId="534E2656" w14:textId="77777777" w:rsidR="00856B34" w:rsidRDefault="00856B34"/>
    <w:p w14:paraId="3A7CC652" w14:textId="77777777" w:rsidR="00856B34" w:rsidRPr="00856B34" w:rsidRDefault="00856B34">
      <w:pPr>
        <w:rPr>
          <w:b/>
        </w:rPr>
      </w:pPr>
      <w:r w:rsidRPr="00856B34">
        <w:rPr>
          <w:b/>
        </w:rPr>
        <w:t>5. Contextual Nuance in the Passage</w:t>
      </w:r>
    </w:p>
    <w:p w14:paraId="72592243" w14:textId="77777777" w:rsidR="00856B34" w:rsidRDefault="00856B34">
      <w:r>
        <w:t>• In Exodus 23:13, the prohibition is placed within the Book of the Covenant, immediately following laws concerning the Sabbath and preceding the three annual feasts.</w:t>
      </w:r>
    </w:p>
    <w:p w14:paraId="75AA2927" w14:textId="77777777" w:rsidR="00856B34" w:rsidRDefault="00856B34">
      <w:r>
        <w:t>• The command "be circumspect" (shamar, to guard or watch carefully) introduces the prohibition. The verbal mention of other gods is viewed as a breach of this spiritual vigilance.</w:t>
      </w:r>
    </w:p>
    <w:p w14:paraId="5132CFB3" w14:textId="77777777" w:rsidR="00856B34" w:rsidRDefault="00856B34">
      <w:r>
        <w:t>• The parallel phrase "nor let it be heard from your mouth" emphasizes the absolute verbal ban. It specifically guards against the syncretistic habit of swearing oaths by local Canaanite deities (like Baal or Asherah) alongside Yahweh.</w:t>
      </w:r>
    </w:p>
    <w:p w14:paraId="0F1C6D3D" w14:textId="77777777" w:rsidR="00856B34" w:rsidRDefault="00856B34"/>
    <w:p w14:paraId="5FD6CBB5" w14:textId="77777777" w:rsidR="00856B34" w:rsidRPr="00856B34" w:rsidRDefault="00856B34">
      <w:pPr>
        <w:rPr>
          <w:b/>
        </w:rPr>
      </w:pPr>
      <w:r w:rsidRPr="00856B34">
        <w:rPr>
          <w:b/>
        </w:rPr>
        <w:t>6. Key Uses in Other Verses (NKJV)</w:t>
      </w:r>
    </w:p>
    <w:p w14:paraId="130DAD24" w14:textId="77777777" w:rsidR="00856B34" w:rsidRDefault="00856B34">
      <w:r>
        <w:t>• Joshua 23:7 - "...nor make mention of the name of their gods, nor cause anyone to swear by them..." (Uses the Hiphil of zakar in an identical covenantal prohibition).</w:t>
      </w:r>
    </w:p>
    <w:p w14:paraId="5F4672DC" w14:textId="77777777" w:rsidR="00856B34" w:rsidRDefault="00856B34">
      <w:r>
        <w:t>• Jeremiah 20:9 - "Then I said, 'I will not make mention of Him, nor speak anymore in His name.'" (Jeremiah uses the verb to express his desire to cease speaking of Yahweh under intense persecution).</w:t>
      </w:r>
    </w:p>
    <w:p w14:paraId="28BB5D94" w14:textId="77777777" w:rsidR="00856B34" w:rsidRDefault="00856B34">
      <w:r>
        <w:t>• Psalm 20:7 - "Some trust in chariots, and some in horses; but we will remember the name of the Lord our God." (Contrasts trusting in military might with invoking and recalling Yahweh's name).</w:t>
      </w:r>
    </w:p>
    <w:p w14:paraId="25A7459A" w14:textId="77777777" w:rsidR="00856B34" w:rsidRDefault="00856B34">
      <w:r>
        <w:t>• Isaiah 26:13 - "O Lord our God, masters besides You have had dominion over us; but by You only we make mention of Your name." (Acknowledges past compromise and resolves to invoke only Yahweh's name).</w:t>
      </w:r>
    </w:p>
    <w:p w14:paraId="53816FA7" w14:textId="77777777" w:rsidR="00856B34" w:rsidRDefault="00856B34"/>
    <w:p w14:paraId="061AC665" w14:textId="77777777" w:rsidR="00856B34" w:rsidRPr="00856B34" w:rsidRDefault="00856B34">
      <w:pPr>
        <w:rPr>
          <w:b/>
        </w:rPr>
      </w:pPr>
      <w:r w:rsidRPr="00856B34">
        <w:rPr>
          <w:b/>
        </w:rPr>
        <w:t>7. Other Relevant Insights</w:t>
      </w:r>
    </w:p>
    <w:p w14:paraId="765CBCBB" w14:textId="77777777" w:rsidR="00856B34" w:rsidRDefault="00856B34">
      <w:r>
        <w:t>The prohibition in Exodus 23:13 serves as a preventative boundary wall. Pagan worship in the ancient Near East was highly syncretistic. Israelites would not immediately abandon Yahweh; instead, they would add other gods to their vocabulary and worship. By banning even the mention of these names, God cut off the avenue of syncretism at its linguistic root.</w:t>
      </w:r>
    </w:p>
    <w:p w14:paraId="3AA0ED37" w14:textId="77777777" w:rsidR="00856B34" w:rsidRDefault="00856B34"/>
    <w:p w14:paraId="3F3946F3" w14:textId="77777777" w:rsidR="00856B34" w:rsidRPr="00856B34" w:rsidRDefault="00856B34">
      <w:pPr>
        <w:rPr>
          <w:b/>
        </w:rPr>
      </w:pPr>
      <w:r w:rsidRPr="00856B34">
        <w:rPr>
          <w:b/>
        </w:rPr>
        <w:t>8. References</w:t>
      </w:r>
    </w:p>
    <w:p w14:paraId="73D74D81" w14:textId="77777777" w:rsidR="00856B34" w:rsidRDefault="00856B34">
      <w:r>
        <w:t>• Brown-Driver-Briggs Hebrew and English Lexicon</w:t>
      </w:r>
    </w:p>
    <w:p w14:paraId="1E1CCAD1" w14:textId="77777777" w:rsidR="00856B34" w:rsidRDefault="00856B34">
      <w:r>
        <w:t>• Theological Wordbook of the Old Testament</w:t>
      </w:r>
    </w:p>
    <w:p w14:paraId="22BF1C1D" w14:textId="77777777" w:rsidR="00856B34" w:rsidRDefault="00856B34">
      <w:r>
        <w:t>• New International Dictionary of Old Testament Theology and Exegesis</w:t>
      </w:r>
    </w:p>
    <w:p w14:paraId="79E848AF" w14:textId="77777777" w:rsidR="00856B34" w:rsidRDefault="00856B34">
      <w:r>
        <w:t>• Koehler-Baumgartner Hebrew and Aramaic Lexicon of the Old Testament</w:t>
      </w:r>
    </w:p>
    <w:p w14:paraId="043AFEF2" w14:textId="5F3949A6" w:rsidR="004C5552" w:rsidRDefault="00856B34">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B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6B3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1D445"/>
  <w15:chartTrackingRefBased/>
  <w15:docId w15:val="{D3795BF4-B1EB-4B51-BB92-FA735399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6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6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B34"/>
    <w:rPr>
      <w:rFonts w:eastAsiaTheme="majorEastAsia" w:cstheme="majorBidi"/>
      <w:color w:val="272727" w:themeColor="text1" w:themeTint="D8"/>
    </w:rPr>
  </w:style>
  <w:style w:type="paragraph" w:styleId="Title">
    <w:name w:val="Title"/>
    <w:basedOn w:val="Normal"/>
    <w:next w:val="Normal"/>
    <w:link w:val="TitleChar"/>
    <w:uiPriority w:val="10"/>
    <w:qFormat/>
    <w:rsid w:val="00856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B34"/>
    <w:pPr>
      <w:spacing w:before="160"/>
      <w:jc w:val="center"/>
    </w:pPr>
    <w:rPr>
      <w:i/>
      <w:iCs/>
      <w:color w:val="404040" w:themeColor="text1" w:themeTint="BF"/>
    </w:rPr>
  </w:style>
  <w:style w:type="character" w:customStyle="1" w:styleId="QuoteChar">
    <w:name w:val="Quote Char"/>
    <w:basedOn w:val="DefaultParagraphFont"/>
    <w:link w:val="Quote"/>
    <w:uiPriority w:val="29"/>
    <w:rsid w:val="00856B34"/>
    <w:rPr>
      <w:i/>
      <w:iCs/>
      <w:color w:val="404040" w:themeColor="text1" w:themeTint="BF"/>
    </w:rPr>
  </w:style>
  <w:style w:type="paragraph" w:styleId="ListParagraph">
    <w:name w:val="List Paragraph"/>
    <w:basedOn w:val="Normal"/>
    <w:uiPriority w:val="34"/>
    <w:qFormat/>
    <w:rsid w:val="00856B34"/>
    <w:pPr>
      <w:ind w:left="720"/>
      <w:contextualSpacing/>
    </w:pPr>
  </w:style>
  <w:style w:type="character" w:styleId="IntenseEmphasis">
    <w:name w:val="Intense Emphasis"/>
    <w:basedOn w:val="DefaultParagraphFont"/>
    <w:uiPriority w:val="21"/>
    <w:qFormat/>
    <w:rsid w:val="00856B34"/>
    <w:rPr>
      <w:i/>
      <w:iCs/>
      <w:color w:val="2E74B5" w:themeColor="accent1" w:themeShade="BF"/>
    </w:rPr>
  </w:style>
  <w:style w:type="paragraph" w:styleId="IntenseQuote">
    <w:name w:val="Intense Quote"/>
    <w:basedOn w:val="Normal"/>
    <w:next w:val="Normal"/>
    <w:link w:val="IntenseQuoteChar"/>
    <w:uiPriority w:val="30"/>
    <w:qFormat/>
    <w:rsid w:val="00856B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6B34"/>
    <w:rPr>
      <w:i/>
      <w:iCs/>
      <w:color w:val="2E74B5" w:themeColor="accent1" w:themeShade="BF"/>
    </w:rPr>
  </w:style>
  <w:style w:type="character" w:styleId="IntenseReference">
    <w:name w:val="Intense Reference"/>
    <w:basedOn w:val="DefaultParagraphFont"/>
    <w:uiPriority w:val="32"/>
    <w:qFormat/>
    <w:rsid w:val="00856B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