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F0D6" w14:textId="77777777" w:rsidR="00F470A0" w:rsidRPr="00F470A0" w:rsidRDefault="00F470A0">
      <w:pPr>
        <w:rPr>
          <w:b/>
        </w:rPr>
      </w:pPr>
      <w:r w:rsidRPr="00F470A0">
        <w:rPr>
          <w:b/>
        </w:rPr>
        <w:t>FESTIVAL - ( heortē , Strong's G1859 )</w:t>
      </w:r>
    </w:p>
    <w:p w14:paraId="576F362E" w14:textId="77777777" w:rsidR="00F470A0" w:rsidRDefault="00F470A0">
      <w:r w:rsidRPr="00F470A0">
        <w:rPr>
          <w:b/>
        </w:rPr>
        <w:t>Summary:</w:t>
      </w:r>
    </w:p>
    <w:p w14:paraId="607E670A" w14:textId="77777777" w:rsidR="00F470A0" w:rsidRDefault="00F470A0">
      <w:r>
        <w:t>The Greek noun heortē refers to a religious festival, feast, or holy day characterized by celebration, joy, and communal gatherings. In its wider Greco-Roman and Jewish contexts, it represented a sacred pause from routine to honor a deity. In the New Testament, it most frequently designates the major annual Jewish pilgrim feasts (Passover, Pentecost, and Tabernacles). In Colossians 2:16, Paul uses the term to address the external religious observances that some were trying to impose on the Colossian believers, emphasizing that these ancient festivals were merely temporary shadows pointing to the reality found in Christ.</w:t>
      </w:r>
    </w:p>
    <w:p w14:paraId="6C43CCC9" w14:textId="77777777" w:rsidR="00F470A0" w:rsidRDefault="00F470A0"/>
    <w:p w14:paraId="00143947" w14:textId="77777777" w:rsidR="00F470A0" w:rsidRDefault="00F470A0">
      <w:r w:rsidRPr="00F470A0">
        <w:rPr>
          <w:b/>
        </w:rPr>
        <w:t>Full Study:</w:t>
      </w:r>
    </w:p>
    <w:p w14:paraId="22E60ED2" w14:textId="77777777" w:rsidR="00F470A0" w:rsidRDefault="00F470A0"/>
    <w:p w14:paraId="6ED34057" w14:textId="77777777" w:rsidR="00F470A0" w:rsidRPr="00F470A0" w:rsidRDefault="00F470A0">
      <w:pPr>
        <w:rPr>
          <w:b/>
        </w:rPr>
      </w:pPr>
      <w:r w:rsidRPr="00F470A0">
        <w:rPr>
          <w:b/>
        </w:rPr>
        <w:t>1. Word Picture / Background</w:t>
      </w:r>
    </w:p>
    <w:p w14:paraId="39583DF8" w14:textId="77777777" w:rsidR="00F470A0" w:rsidRDefault="00F470A0">
      <w:r>
        <w:t xml:space="preserve">In the ancient world, both Jewish and pagan cultures organized their calendars around the heortē—sacred times of celebration, sacrifice, and rest. The term originally carried the connotation of a joyful, festive gathering or a holiday. Unlike ordinary days of labor, a festival was characterized by public worship, communal meals, singing, and a deliberate cessation of daily work. For the Jewish people, these festivals were divinely instituted memorials designed to re-enact and remember Yahweh's saving acts in history, anchoring the community's identity in God's covenant faithfulness. </w:t>
      </w:r>
    </w:p>
    <w:p w14:paraId="094E3062" w14:textId="77777777" w:rsidR="00F470A0" w:rsidRDefault="00F470A0"/>
    <w:p w14:paraId="17A2D88D" w14:textId="77777777" w:rsidR="00F470A0" w:rsidRPr="00F470A0" w:rsidRDefault="00F470A0">
      <w:pPr>
        <w:rPr>
          <w:b/>
        </w:rPr>
      </w:pPr>
      <w:r w:rsidRPr="00F470A0">
        <w:rPr>
          <w:b/>
        </w:rPr>
        <w:t>2. Meaning / Lexical Definition</w:t>
      </w:r>
    </w:p>
    <w:p w14:paraId="5D5A4E7F" w14:textId="77777777" w:rsidR="00F470A0" w:rsidRDefault="00F470A0">
      <w:r>
        <w:t>The noun heortē denotes a festival, holiday, or religious feast. Lexically, it refers to a recurring day or period of solemnity and celebration set apart for religious observances. In the Septuagint, heortē translates the Hebrew word chag, which refers to a pilgrimage feast. The word carries a semantic range that spans from a generic holiday to the highly specific, divinely mandated annual pilgrim feasts of Israel. It denotes not just a private commemoration, but a public, shared, and joyful celebration.</w:t>
      </w:r>
    </w:p>
    <w:p w14:paraId="6C823D98" w14:textId="77777777" w:rsidR="00F470A0" w:rsidRDefault="00F470A0"/>
    <w:p w14:paraId="5B81D9CB" w14:textId="77777777" w:rsidR="00F470A0" w:rsidRPr="00F470A0" w:rsidRDefault="00F470A0">
      <w:pPr>
        <w:rPr>
          <w:b/>
        </w:rPr>
      </w:pPr>
      <w:r w:rsidRPr="00F470A0">
        <w:rPr>
          <w:b/>
        </w:rPr>
        <w:t>3. Usage and Word Pictures</w:t>
      </w:r>
    </w:p>
    <w:p w14:paraId="1F8D180A" w14:textId="77777777" w:rsidR="00F470A0" w:rsidRDefault="00F470A0">
      <w:r>
        <w:t>In the New Testament, heortē occurs 27 times, primarily in the Gospels to designate the great annual feasts in Jerusalem. The word pictures associated with heortē evoke scenes of pilgrimage, crowded streets, shared meals, sacrificial offerings, and deep spiritual rejoicing. For example, Luke describes Jesus as a twelve-year-old traveling with His parents "according to the custom of the feast" (Luke 2:42). The term represents the rhythm of divine covenant life: stopping regular labor, looking back at God's historical redemption, and looking forward to His ultimate deliverance.</w:t>
      </w:r>
    </w:p>
    <w:p w14:paraId="02E00291" w14:textId="77777777" w:rsidR="00F470A0" w:rsidRDefault="00F470A0"/>
    <w:p w14:paraId="66CF1A5D" w14:textId="77777777" w:rsidR="00F470A0" w:rsidRPr="00F470A0" w:rsidRDefault="00F470A0">
      <w:pPr>
        <w:rPr>
          <w:b/>
        </w:rPr>
      </w:pPr>
      <w:r w:rsidRPr="00F470A0">
        <w:rPr>
          <w:b/>
        </w:rPr>
        <w:t>4. Theological Implications</w:t>
      </w:r>
    </w:p>
    <w:p w14:paraId="323349A4" w14:textId="77777777" w:rsidR="00F470A0" w:rsidRDefault="00F470A0">
      <w:r>
        <w:t>Theologically, the biblical feasts were prophetic pictures. Every heortē was pregnant with redemptive-historical significance. Passover pointed to the sacrifice of the Lamb of God; Pentecost pointed to the outpouring of the Holy Spirit and the harvest of souls; Tabernacles pointed to God dwelling with His people in the new creation. When Christ arrived, the theological reality of these festivals was realized. He did not merely participate in the feasts; He fulfilled them. Therefore, the transition from Old Covenant shadow to New Covenant reality means that the physical celebration of the heortē is no longer a binding obligation for the believer's standing before God.</w:t>
      </w:r>
    </w:p>
    <w:p w14:paraId="749CD99D" w14:textId="77777777" w:rsidR="00F470A0" w:rsidRDefault="00F470A0"/>
    <w:p w14:paraId="40554F5A" w14:textId="77777777" w:rsidR="00F470A0" w:rsidRPr="00F470A0" w:rsidRDefault="00F470A0">
      <w:pPr>
        <w:rPr>
          <w:b/>
        </w:rPr>
      </w:pPr>
      <w:r w:rsidRPr="00F470A0">
        <w:rPr>
          <w:b/>
        </w:rPr>
        <w:t>5. Contextual Nuance in the Passage</w:t>
      </w:r>
    </w:p>
    <w:p w14:paraId="23D1F827" w14:textId="77777777" w:rsidR="00F470A0" w:rsidRDefault="00F470A0">
      <w:r>
        <w:t>In Colossians 2:16, Paul commands, "So let no one judge you in food or in drink, or regarding a festival or a new moon or sabbaths." The phrase "a festival or a new moon or sabbaths" represents a classic threefold division of the Jewish sacred calendar: annual feasts (heortē), monthly celebrations (new moons), and weekly observances (sabbaths). The Colossian heresy apparently involved a syncretistic mixture of Jewish legalism and asceticism, pressuring Gentile believers to adopt these calendar markers to achieve a higher level of spirituality or acceptance. Paul counters this by stating that these observances are a "shadow of things to come, but the substance is of Christ" (Colossians 2:17). The nuance here is one of spiritual liberation: the shadows have lost their binding authority because the Light has come. Demanding that believers observe these festivals is like clinging to a person’s shadow when the person themselves is standing right in front of you.</w:t>
      </w:r>
    </w:p>
    <w:p w14:paraId="4929BC72" w14:textId="77777777" w:rsidR="00F470A0" w:rsidRDefault="00F470A0"/>
    <w:p w14:paraId="612F37CE" w14:textId="77777777" w:rsidR="00F470A0" w:rsidRPr="00F470A0" w:rsidRDefault="00F470A0">
      <w:pPr>
        <w:rPr>
          <w:b/>
        </w:rPr>
      </w:pPr>
      <w:r w:rsidRPr="00F470A0">
        <w:rPr>
          <w:b/>
        </w:rPr>
        <w:t>6. Key Uses in Other Verses (NKJV)</w:t>
      </w:r>
    </w:p>
    <w:p w14:paraId="6B7CC43B" w14:textId="77777777" w:rsidR="00F470A0" w:rsidRDefault="00F470A0">
      <w:r>
        <w:t>• Luke 2:41 - "His parents went to Jerusalem every year at the Feast of the Passover."</w:t>
      </w:r>
    </w:p>
    <w:p w14:paraId="2C8108F1" w14:textId="77777777" w:rsidR="00F470A0" w:rsidRDefault="00F470A0">
      <w:r>
        <w:t>• John 7:2 - "Now the Jews’ Feast of Tabernacles was at hand."</w:t>
      </w:r>
    </w:p>
    <w:p w14:paraId="6D40C29D" w14:textId="77777777" w:rsidR="00F470A0" w:rsidRDefault="00F470A0">
      <w:r>
        <w:t>• John 7:37 - "On the last day, that great day of the feast, Jesus stood and cried out..."</w:t>
      </w:r>
    </w:p>
    <w:p w14:paraId="687702A9" w14:textId="77777777" w:rsidR="00F470A0" w:rsidRDefault="00F470A0">
      <w:r>
        <w:t>• Acts 18:21 - "...but took leave of them, saying, 'I must by all means keep this coming feast in Jerusalem; but I will return again to you, God willing.'"</w:t>
      </w:r>
    </w:p>
    <w:p w14:paraId="38ADF087" w14:textId="77777777" w:rsidR="00F470A0" w:rsidRDefault="00F470A0"/>
    <w:p w14:paraId="03F12A70" w14:textId="77777777" w:rsidR="00F470A0" w:rsidRPr="00F470A0" w:rsidRDefault="00F470A0">
      <w:pPr>
        <w:rPr>
          <w:b/>
        </w:rPr>
      </w:pPr>
      <w:r w:rsidRPr="00F470A0">
        <w:rPr>
          <w:b/>
        </w:rPr>
        <w:t>7. Other Relevant Insights</w:t>
      </w:r>
    </w:p>
    <w:p w14:paraId="55F5B16D" w14:textId="77777777" w:rsidR="00F470A0" w:rsidRDefault="00F470A0">
      <w:r>
        <w:t>The contrast Paul draws between the "shadow" (skia) and the "substance" or "body" (sōma) in Colossians 2:17 is crucial. A shadow has no independent existence; it is entirely dependent on the object casting it. Once the object arrives, looking at the shadow to understand the object becomes obsolete. It is easy for modern Christians to fall into new forms of festival legalism—elevating certain church calendar days, spiritual practices, or external rites to the level of spiritual necessity or moral superiority. While celebrating holy days can be a beautiful expression of faith, making them a metric of spiritual maturity or acceptance violates the freedom Christ purchased.</w:t>
      </w:r>
    </w:p>
    <w:p w14:paraId="4DA478EA" w14:textId="77777777" w:rsidR="00F470A0" w:rsidRDefault="00F470A0"/>
    <w:p w14:paraId="39BF8C70" w14:textId="77777777" w:rsidR="00F470A0" w:rsidRPr="00F470A0" w:rsidRDefault="00F470A0">
      <w:pPr>
        <w:rPr>
          <w:b/>
        </w:rPr>
      </w:pPr>
      <w:r w:rsidRPr="00F470A0">
        <w:rPr>
          <w:b/>
        </w:rPr>
        <w:t>8. References</w:t>
      </w:r>
    </w:p>
    <w:p w14:paraId="047B7FF4" w14:textId="77777777" w:rsidR="00F470A0" w:rsidRDefault="00F470A0">
      <w:r>
        <w:t>• BDAG (A Greek-English Lexicon of the New Testament and Other Early Christian Literature)</w:t>
      </w:r>
    </w:p>
    <w:p w14:paraId="10E87043" w14:textId="77777777" w:rsidR="00F470A0" w:rsidRDefault="00F470A0">
      <w:r>
        <w:t>• Thayer's Greek-English Lexicon of the New Testament</w:t>
      </w:r>
    </w:p>
    <w:p w14:paraId="40276BCB" w14:textId="77777777" w:rsidR="00F470A0" w:rsidRDefault="00F470A0">
      <w:r>
        <w:t>• Theological Dictionary of the New Testament (TDNT) / Little Kittel</w:t>
      </w:r>
    </w:p>
    <w:p w14:paraId="435F2017" w14:textId="77777777" w:rsidR="00F470A0" w:rsidRDefault="00F470A0">
      <w:r>
        <w:t>• Vine's Expository Dictionary of New Testament Words</w:t>
      </w:r>
    </w:p>
    <w:p w14:paraId="335EE7ED" w14:textId="77777777" w:rsidR="004C5552" w:rsidRDefault="00F470A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70A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7AE4"/>
  <w15:chartTrackingRefBased/>
  <w15:docId w15:val="{613747CD-D112-4A8D-A978-74A471FD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A0"/>
    <w:rPr>
      <w:rFonts w:eastAsiaTheme="majorEastAsia" w:cstheme="majorBidi"/>
      <w:color w:val="272727" w:themeColor="text1" w:themeTint="D8"/>
    </w:rPr>
  </w:style>
  <w:style w:type="paragraph" w:styleId="Title">
    <w:name w:val="Title"/>
    <w:basedOn w:val="Normal"/>
    <w:next w:val="Normal"/>
    <w:link w:val="TitleChar"/>
    <w:uiPriority w:val="10"/>
    <w:qFormat/>
    <w:rsid w:val="00F4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0A0"/>
    <w:pPr>
      <w:spacing w:before="160"/>
      <w:jc w:val="center"/>
    </w:pPr>
    <w:rPr>
      <w:i/>
      <w:iCs/>
      <w:color w:val="404040" w:themeColor="text1" w:themeTint="BF"/>
    </w:rPr>
  </w:style>
  <w:style w:type="character" w:customStyle="1" w:styleId="QuoteChar">
    <w:name w:val="Quote Char"/>
    <w:basedOn w:val="DefaultParagraphFont"/>
    <w:link w:val="Quote"/>
    <w:uiPriority w:val="29"/>
    <w:rsid w:val="00F470A0"/>
    <w:rPr>
      <w:i/>
      <w:iCs/>
      <w:color w:val="404040" w:themeColor="text1" w:themeTint="BF"/>
    </w:rPr>
  </w:style>
  <w:style w:type="paragraph" w:styleId="ListParagraph">
    <w:name w:val="List Paragraph"/>
    <w:basedOn w:val="Normal"/>
    <w:uiPriority w:val="34"/>
    <w:qFormat/>
    <w:rsid w:val="00F470A0"/>
    <w:pPr>
      <w:ind w:left="720"/>
      <w:contextualSpacing/>
    </w:pPr>
  </w:style>
  <w:style w:type="character" w:styleId="IntenseEmphasis">
    <w:name w:val="Intense Emphasis"/>
    <w:basedOn w:val="DefaultParagraphFont"/>
    <w:uiPriority w:val="21"/>
    <w:qFormat/>
    <w:rsid w:val="00F470A0"/>
    <w:rPr>
      <w:i/>
      <w:iCs/>
      <w:color w:val="2E74B5" w:themeColor="accent1" w:themeShade="BF"/>
    </w:rPr>
  </w:style>
  <w:style w:type="paragraph" w:styleId="IntenseQuote">
    <w:name w:val="Intense Quote"/>
    <w:basedOn w:val="Normal"/>
    <w:next w:val="Normal"/>
    <w:link w:val="IntenseQuoteChar"/>
    <w:uiPriority w:val="30"/>
    <w:qFormat/>
    <w:rsid w:val="00F470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0A0"/>
    <w:rPr>
      <w:i/>
      <w:iCs/>
      <w:color w:val="2E74B5" w:themeColor="accent1" w:themeShade="BF"/>
    </w:rPr>
  </w:style>
  <w:style w:type="character" w:styleId="IntenseReference">
    <w:name w:val="Intense Reference"/>
    <w:basedOn w:val="DefaultParagraphFont"/>
    <w:uiPriority w:val="32"/>
    <w:qFormat/>
    <w:rsid w:val="00F470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4714</Characters>
  <Application>Microsoft Office Word</Application>
  <DocSecurity>0</DocSecurity>
  <Lines>90</Lines>
  <Paragraphs>49</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