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216C9" w14:textId="77777777" w:rsidR="006C1602" w:rsidRPr="006C1602" w:rsidRDefault="006C1602">
      <w:pPr>
        <w:rPr>
          <w:b/>
        </w:rPr>
      </w:pPr>
      <w:r w:rsidRPr="006C1602">
        <w:rPr>
          <w:b/>
        </w:rPr>
        <w:t>DOOR - ( thyra , Strong's G2374 )</w:t>
      </w:r>
    </w:p>
    <w:p w14:paraId="5AC38B37" w14:textId="77777777" w:rsidR="006C1602" w:rsidRDefault="006C1602">
      <w:r w:rsidRPr="006C1602">
        <w:rPr>
          <w:b/>
        </w:rPr>
        <w:t>Summary:</w:t>
      </w:r>
    </w:p>
    <w:p w14:paraId="0AFC2B95" w14:textId="77777777" w:rsidR="006C1602" w:rsidRDefault="006C1602">
      <w:r>
        <w:t>The Greek noun thyra refers literally to a door, gate, or portal, but in the New Testament, it is frequently used metaphorically to describe an open opportunity, an entrance for ministry, or access to God's presence. In Colossians 4:3, Paul asks the Colossian believers to pray that God would open a "door for the word," meaning a divinely appointed opportunity to preach the gospel of Jesus Christ despite his imprisonment.</w:t>
      </w:r>
    </w:p>
    <w:p w14:paraId="0CE8FFDC" w14:textId="77777777" w:rsidR="006C1602" w:rsidRDefault="006C1602"/>
    <w:p w14:paraId="2BF1DD96" w14:textId="77777777" w:rsidR="006C1602" w:rsidRDefault="006C1602">
      <w:r w:rsidRPr="006C1602">
        <w:rPr>
          <w:b/>
        </w:rPr>
        <w:t>Full Study:</w:t>
      </w:r>
    </w:p>
    <w:p w14:paraId="29FAD19A" w14:textId="77777777" w:rsidR="006C1602" w:rsidRDefault="006C1602"/>
    <w:p w14:paraId="6056A711" w14:textId="77777777" w:rsidR="006C1602" w:rsidRPr="006C1602" w:rsidRDefault="006C1602">
      <w:pPr>
        <w:rPr>
          <w:b/>
        </w:rPr>
      </w:pPr>
      <w:r w:rsidRPr="006C1602">
        <w:rPr>
          <w:b/>
        </w:rPr>
        <w:t>1. Word Picture / Background</w:t>
      </w:r>
    </w:p>
    <w:p w14:paraId="6EB8FCA6" w14:textId="77777777" w:rsidR="006C1602" w:rsidRDefault="006C1602">
      <w:r>
        <w:t>• In the ancient Greco-Roman and Jewish worlds, doors and gates were vital structures of defense, security, and exclusion. Made of wood, stone, or heavy metal, they were secured with bolts, bars, or keys to keep out intruders.</w:t>
      </w:r>
    </w:p>
    <w:p w14:paraId="679AA6CF" w14:textId="77777777" w:rsidR="006C1602" w:rsidRDefault="006C1602">
      <w:r>
        <w:t>• Passing through a door represented a transition from one state or environment to another—moving from the public sphere to the private, or from danger to safety.</w:t>
      </w:r>
    </w:p>
    <w:p w14:paraId="46F844B3" w14:textId="77777777" w:rsidR="006C1602" w:rsidRDefault="006C1602">
      <w:r>
        <w:t>• In ancient literature, an open door was a common idiom for hospitality, freedom of access, or an unobstructed path. Conversely, a shut door symbolized exclusion, rejection, or imprisonment.</w:t>
      </w:r>
    </w:p>
    <w:p w14:paraId="1D887C12" w14:textId="77777777" w:rsidR="006C1602" w:rsidRDefault="006C1602"/>
    <w:p w14:paraId="318A2919" w14:textId="77777777" w:rsidR="006C1602" w:rsidRPr="006C1602" w:rsidRDefault="006C1602">
      <w:pPr>
        <w:rPr>
          <w:b/>
        </w:rPr>
      </w:pPr>
      <w:r w:rsidRPr="006C1602">
        <w:rPr>
          <w:b/>
        </w:rPr>
        <w:t>2. Meaning / Lexical Definition</w:t>
      </w:r>
    </w:p>
    <w:p w14:paraId="6383B889" w14:textId="77777777" w:rsidR="006C1602" w:rsidRDefault="006C1602">
      <w:r>
        <w:t>• Literally, thyra is the portal or barrier closeable by a door, used of houses, temples, tombs, or prisons.</w:t>
      </w:r>
    </w:p>
    <w:p w14:paraId="147AC102" w14:textId="77777777" w:rsidR="006C1602" w:rsidRDefault="006C1602">
      <w:r>
        <w:t>• Metaphorically, thyra represents:</w:t>
      </w:r>
    </w:p>
    <w:p w14:paraId="07355424" w14:textId="77777777" w:rsidR="006C1602" w:rsidRDefault="006C1602">
      <w:r>
        <w:t>• A divinely granted opportunity or opening for the proclamation of the gospel, where barriers are removed and hearts are made receptive.</w:t>
      </w:r>
    </w:p>
    <w:p w14:paraId="55FF300C" w14:textId="77777777" w:rsidR="006C1602" w:rsidRDefault="006C1602">
      <w:r>
        <w:t>• Jesus Christ Himself as the sole entrance into eternal salvation, security, and relationship with God.</w:t>
      </w:r>
    </w:p>
    <w:p w14:paraId="57D43924" w14:textId="77777777" w:rsidR="006C1602" w:rsidRDefault="006C1602">
      <w:r>
        <w:t>• An imminent event or the near presence of a person, as in standing "at the door."</w:t>
      </w:r>
    </w:p>
    <w:p w14:paraId="53E7CB71" w14:textId="77777777" w:rsidR="006C1602" w:rsidRDefault="006C1602">
      <w:r>
        <w:t>• The entrance to a person's heart, life, or mind, requiring a response of hospitality and faith.</w:t>
      </w:r>
    </w:p>
    <w:p w14:paraId="5AEF4092" w14:textId="77777777" w:rsidR="006C1602" w:rsidRDefault="006C1602"/>
    <w:p w14:paraId="6A472FF4" w14:textId="77777777" w:rsidR="006C1602" w:rsidRPr="006C1602" w:rsidRDefault="006C1602">
      <w:pPr>
        <w:rPr>
          <w:b/>
        </w:rPr>
      </w:pPr>
      <w:r w:rsidRPr="006C1602">
        <w:rPr>
          <w:b/>
        </w:rPr>
        <w:t>3. Usage and Word Pictures</w:t>
      </w:r>
    </w:p>
    <w:p w14:paraId="3B18535F" w14:textId="77777777" w:rsidR="006C1602" w:rsidRDefault="006C1602">
      <w:r>
        <w:t>• The door functions as a boundary marker. To open a door is to remove the barrier and grant access. In ancient households, a doorkeeper (thyroros) guarded this entrance, deciding who could enter.</w:t>
      </w:r>
    </w:p>
    <w:p w14:paraId="17FF2707" w14:textId="77777777" w:rsidR="006C1602" w:rsidRDefault="006C1602">
      <w:r>
        <w:t>• When the New Testament speaks of an "open door" for ministry, it draws on this imagery of authorization. The missionary does not force entry; rather, God acts as the sovereign householder who unlocks and opens the door, granting the preacher authorization and access to the hearts of the hearers.</w:t>
      </w:r>
    </w:p>
    <w:p w14:paraId="27969630" w14:textId="77777777" w:rsidR="006C1602" w:rsidRDefault="006C1602">
      <w:r>
        <w:t>• This word picture emphasizes that spiritual success is not a product of human cleverness, manipulation, or sheer force, but is the result of God removing the spiritual barriers that block the progress of the gospel message.</w:t>
      </w:r>
    </w:p>
    <w:p w14:paraId="13B6C01A" w14:textId="77777777" w:rsidR="006C1602" w:rsidRDefault="006C1602"/>
    <w:p w14:paraId="0E7136FC" w14:textId="77777777" w:rsidR="006C1602" w:rsidRPr="006C1602" w:rsidRDefault="006C1602">
      <w:pPr>
        <w:rPr>
          <w:b/>
        </w:rPr>
      </w:pPr>
      <w:r w:rsidRPr="006C1602">
        <w:rPr>
          <w:b/>
        </w:rPr>
        <w:t>4. Theological Implications</w:t>
      </w:r>
    </w:p>
    <w:p w14:paraId="58E2B33B" w14:textId="77777777" w:rsidR="006C1602" w:rsidRDefault="006C1602">
      <w:r>
        <w:t>• Sovereign Initiative: The opening of a door for ministry is entirely a work of divine grace. Human effort cannot breach the spiritual blindness of the human heart; only God can open the door of faith.</w:t>
      </w:r>
    </w:p>
    <w:p w14:paraId="08331601" w14:textId="77777777" w:rsidR="006C1602" w:rsidRDefault="006C1602">
      <w:r>
        <w:t>• Sovereignty Over Circumstances: Paul's request for an open door while chain-bound in Rome highlights a profound theological truth: physical confinement cannot restrict the sovereign advance of God's word. The messenger may be bound, but the Word of God is not.</w:t>
      </w:r>
    </w:p>
    <w:p w14:paraId="27DCEF6A" w14:textId="77777777" w:rsidR="006C1602" w:rsidRDefault="006C1602">
      <w:r>
        <w:t>• Christological Access: Jesus' self-identification as "the door" establishes Him as the exclusive mediator between God and humanity. Access to salvation, spiritual nourishment, and the household of God is found only through Him.</w:t>
      </w:r>
    </w:p>
    <w:p w14:paraId="71602662" w14:textId="77777777" w:rsidR="006C1602" w:rsidRDefault="006C1602"/>
    <w:p w14:paraId="6789FE91" w14:textId="77777777" w:rsidR="006C1602" w:rsidRPr="006C1602" w:rsidRDefault="006C1602">
      <w:pPr>
        <w:rPr>
          <w:b/>
        </w:rPr>
      </w:pPr>
      <w:r w:rsidRPr="006C1602">
        <w:rPr>
          <w:b/>
        </w:rPr>
        <w:t>5. Contextual Nuance in the Passage</w:t>
      </w:r>
    </w:p>
    <w:p w14:paraId="4BA87086" w14:textId="77777777" w:rsidR="006C1602" w:rsidRDefault="006C1602">
      <w:r>
        <w:t>• In Colossians 4:3, Paul requests prayer: "that God would open to us a door for the word."</w:t>
      </w:r>
    </w:p>
    <w:p w14:paraId="0E394819" w14:textId="77777777" w:rsidR="006C1602" w:rsidRDefault="006C1602">
      <w:r>
        <w:t>• The immediate context is Paul's house arrest in Rome. Strikingly, Paul does not ask the Colossians to pray for his release, for the opening of his physical prison doors, or for his personal comfort. Instead, his focus is entirely outward and spiritual.</w:t>
      </w:r>
    </w:p>
    <w:p w14:paraId="7EAF8817" w14:textId="77777777" w:rsidR="006C1602" w:rsidRDefault="006C1602">
      <w:r>
        <w:t>• The "door for the word" (thyran tou logou) represents the specific opportunity to speak the "mystery of Christ" to those around him, including his Roman guards and visitors.</w:t>
      </w:r>
    </w:p>
    <w:p w14:paraId="06C11ACA" w14:textId="77777777" w:rsidR="006C1602" w:rsidRDefault="006C1602">
      <w:r>
        <w:t>• Paul recognizes that even in chains, a God-given opportunity will allow the gospel to penetrate deep into the Roman empire. The ultimate target of the open door is not the apostle's physical freedom, but the spiritual freedom of his hearers.</w:t>
      </w:r>
    </w:p>
    <w:p w14:paraId="1C8C2110" w14:textId="77777777" w:rsidR="006C1602" w:rsidRDefault="006C1602"/>
    <w:p w14:paraId="2F64303D" w14:textId="77777777" w:rsidR="006C1602" w:rsidRPr="006C1602" w:rsidRDefault="006C1602">
      <w:pPr>
        <w:rPr>
          <w:b/>
        </w:rPr>
      </w:pPr>
      <w:r w:rsidRPr="006C1602">
        <w:rPr>
          <w:b/>
        </w:rPr>
        <w:t>6. Key Uses in Other Verses (NKJV)</w:t>
      </w:r>
    </w:p>
    <w:p w14:paraId="2CEC9E17" w14:textId="77777777" w:rsidR="006C1602" w:rsidRDefault="006C1602">
      <w:r>
        <w:t>• John 10:9 – "I am the door. If anyone enters by Me, he will be saved, and will go in and out and find pasture."</w:t>
      </w:r>
    </w:p>
    <w:p w14:paraId="34039658" w14:textId="77777777" w:rsidR="006C1602" w:rsidRDefault="006C1602">
      <w:r>
        <w:t>• Acts 14:27 – "Now when they had come and gathered the church together, they reported all that God had done with them, and that He had opened the door of faith to the Gentiles."</w:t>
      </w:r>
    </w:p>
    <w:p w14:paraId="08979E7C" w14:textId="77777777" w:rsidR="006C1602" w:rsidRDefault="006C1602">
      <w:r>
        <w:t>• 1 Corinthians 16:9 – "For a great and effective door has opened to me, and there are many adversaries."</w:t>
      </w:r>
    </w:p>
    <w:p w14:paraId="2BA8534D" w14:textId="77777777" w:rsidR="006C1602" w:rsidRDefault="006C1602">
      <w:r>
        <w:t>• 2 Corinthians 2:12 – "Furthermore, when I came to Troas to preach Christ's gospel, and a door was opened to me by the Lord,"</w:t>
      </w:r>
    </w:p>
    <w:p w14:paraId="3F2C9814" w14:textId="77777777" w:rsidR="006C1602" w:rsidRDefault="006C1602">
      <w:r>
        <w:t>• Revelation 3:20 – "Behold, I stand at the door and knock. If anyone hears My voice and opens the door, I will come in to him and dine with him, and he with Me."</w:t>
      </w:r>
    </w:p>
    <w:p w14:paraId="34D751ED" w14:textId="77777777" w:rsidR="006C1602" w:rsidRDefault="006C1602"/>
    <w:p w14:paraId="0AFF1B4A" w14:textId="77777777" w:rsidR="006C1602" w:rsidRPr="006C1602" w:rsidRDefault="006C1602">
      <w:pPr>
        <w:rPr>
          <w:b/>
        </w:rPr>
      </w:pPr>
      <w:r w:rsidRPr="006C1602">
        <w:rPr>
          <w:b/>
        </w:rPr>
        <w:t>7. Other Relevant Insights</w:t>
      </w:r>
    </w:p>
    <w:p w14:paraId="4DA3B4D9" w14:textId="77777777" w:rsidR="006C1602" w:rsidRDefault="006C1602">
      <w:r>
        <w:t>• There is an instructive contrast between the book of Acts and Paul's epistles. In Acts, God literally opens physical prison doors for the apostles (Acts 5:19, 12:10, 16:26). Yet in his letters, Paul's focus is almost exclusively on the opening of spiritual doors for the gospel.</w:t>
      </w:r>
    </w:p>
    <w:p w14:paraId="412C6A10" w14:textId="77777777" w:rsidR="006C1602" w:rsidRDefault="006C1602">
      <w:r>
        <w:t>• This shift teaches believers to prioritize spiritual breakthroughs over physical liberation, recognizing that a closed prison door can still coexist with an open door for the gospel.</w:t>
      </w:r>
    </w:p>
    <w:p w14:paraId="3E61BE65" w14:textId="77777777" w:rsidR="006C1602" w:rsidRDefault="006C1602"/>
    <w:p w14:paraId="7EE38DAA" w14:textId="77777777" w:rsidR="006C1602" w:rsidRPr="006C1602" w:rsidRDefault="006C1602">
      <w:pPr>
        <w:rPr>
          <w:b/>
        </w:rPr>
      </w:pPr>
      <w:r w:rsidRPr="006C1602">
        <w:rPr>
          <w:b/>
        </w:rPr>
        <w:t>8. References</w:t>
      </w:r>
    </w:p>
    <w:p w14:paraId="013A953D" w14:textId="77777777" w:rsidR="006C1602" w:rsidRDefault="006C1602">
      <w:r>
        <w:t>• BDAG, G2374</w:t>
      </w:r>
    </w:p>
    <w:p w14:paraId="11B39A41" w14:textId="77777777" w:rsidR="006C1602" w:rsidRDefault="006C1602">
      <w:r>
        <w:t>• Thayer's Greek Lexicon</w:t>
      </w:r>
    </w:p>
    <w:p w14:paraId="2C2915BA" w14:textId="77777777" w:rsidR="006C1602" w:rsidRDefault="006C1602">
      <w:r>
        <w:t>• Vine's Expository Dictionary of New Testament Words</w:t>
      </w:r>
    </w:p>
    <w:p w14:paraId="2DBBFB5D" w14:textId="77777777" w:rsidR="006C1602" w:rsidRDefault="006C1602">
      <w:r>
        <w:t>• TDNT, Volume 3, pages 173-180</w:t>
      </w:r>
    </w:p>
    <w:p w14:paraId="7C3B95C6" w14:textId="62DC4C76" w:rsidR="004C5552" w:rsidRDefault="006C1602">
      <w:r>
        <w:t>•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60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C1602"/>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455DC"/>
  <w15:chartTrackingRefBased/>
  <w15:docId w15:val="{0B0A6A42-E3EC-41EF-8877-3E90E7672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1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1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602"/>
    <w:rPr>
      <w:rFonts w:eastAsiaTheme="majorEastAsia" w:cstheme="majorBidi"/>
      <w:color w:val="272727" w:themeColor="text1" w:themeTint="D8"/>
    </w:rPr>
  </w:style>
  <w:style w:type="paragraph" w:styleId="Title">
    <w:name w:val="Title"/>
    <w:basedOn w:val="Normal"/>
    <w:next w:val="Normal"/>
    <w:link w:val="TitleChar"/>
    <w:uiPriority w:val="10"/>
    <w:qFormat/>
    <w:rsid w:val="006C1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602"/>
    <w:pPr>
      <w:spacing w:before="160"/>
      <w:jc w:val="center"/>
    </w:pPr>
    <w:rPr>
      <w:i/>
      <w:iCs/>
      <w:color w:val="404040" w:themeColor="text1" w:themeTint="BF"/>
    </w:rPr>
  </w:style>
  <w:style w:type="character" w:customStyle="1" w:styleId="QuoteChar">
    <w:name w:val="Quote Char"/>
    <w:basedOn w:val="DefaultParagraphFont"/>
    <w:link w:val="Quote"/>
    <w:uiPriority w:val="29"/>
    <w:rsid w:val="006C1602"/>
    <w:rPr>
      <w:i/>
      <w:iCs/>
      <w:color w:val="404040" w:themeColor="text1" w:themeTint="BF"/>
    </w:rPr>
  </w:style>
  <w:style w:type="paragraph" w:styleId="ListParagraph">
    <w:name w:val="List Paragraph"/>
    <w:basedOn w:val="Normal"/>
    <w:uiPriority w:val="34"/>
    <w:qFormat/>
    <w:rsid w:val="006C1602"/>
    <w:pPr>
      <w:ind w:left="720"/>
      <w:contextualSpacing/>
    </w:pPr>
  </w:style>
  <w:style w:type="character" w:styleId="IntenseEmphasis">
    <w:name w:val="Intense Emphasis"/>
    <w:basedOn w:val="DefaultParagraphFont"/>
    <w:uiPriority w:val="21"/>
    <w:qFormat/>
    <w:rsid w:val="006C1602"/>
    <w:rPr>
      <w:i/>
      <w:iCs/>
      <w:color w:val="2E74B5" w:themeColor="accent1" w:themeShade="BF"/>
    </w:rPr>
  </w:style>
  <w:style w:type="paragraph" w:styleId="IntenseQuote">
    <w:name w:val="Intense Quote"/>
    <w:basedOn w:val="Normal"/>
    <w:next w:val="Normal"/>
    <w:link w:val="IntenseQuoteChar"/>
    <w:uiPriority w:val="30"/>
    <w:qFormat/>
    <w:rsid w:val="006C16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1602"/>
    <w:rPr>
      <w:i/>
      <w:iCs/>
      <w:color w:val="2E74B5" w:themeColor="accent1" w:themeShade="BF"/>
    </w:rPr>
  </w:style>
  <w:style w:type="character" w:styleId="IntenseReference">
    <w:name w:val="Intense Reference"/>
    <w:basedOn w:val="DefaultParagraphFont"/>
    <w:uiPriority w:val="32"/>
    <w:qFormat/>
    <w:rsid w:val="006C160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864</Words>
  <Characters>4493</Characters>
  <Application>Microsoft Office Word</Application>
  <DocSecurity>0</DocSecurity>
  <Lines>86</Lines>
  <Paragraphs>46</Paragraphs>
  <ScaleCrop>false</ScaleCrop>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