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8875" w14:textId="77777777" w:rsidR="00D63507" w:rsidRPr="00D63507" w:rsidRDefault="00D63507">
      <w:pPr>
        <w:rPr>
          <w:b/>
        </w:rPr>
      </w:pPr>
      <w:r w:rsidRPr="00D63507">
        <w:rPr>
          <w:b/>
        </w:rPr>
        <w:t>FLESH - ( sarx , Strong's G4561 )</w:t>
      </w:r>
    </w:p>
    <w:p w14:paraId="4EBED5BB" w14:textId="77777777" w:rsidR="00D63507" w:rsidRDefault="00D63507">
      <w:r w:rsidRPr="00D63507">
        <w:rPr>
          <w:b/>
        </w:rPr>
        <w:t>Summary:</w:t>
      </w:r>
    </w:p>
    <w:p w14:paraId="3F21B043" w14:textId="77777777" w:rsidR="00D63507" w:rsidRDefault="00D63507">
      <w:r>
        <w:t>In Ephesians 2:15, sarx refers to the physical body of Jesus Christ, specifically His incarnate human body offered in death on the cross. While the New Testament frequently uses sarx (flesh) in a moral sense to describe the fallen human nature opposed to God, here the term has a physical and sacrificial meaning. Through the offering of His physical body, Christ broke down the dividing wall of hostility between Jew and Gentile, rendering the ceremonial law's demands powerless and initiating a new, unified humanity in Himself.</w:t>
      </w:r>
    </w:p>
    <w:p w14:paraId="15D9BA54" w14:textId="77777777" w:rsidR="00D63507" w:rsidRDefault="00D63507"/>
    <w:p w14:paraId="637CEE6A" w14:textId="77777777" w:rsidR="00D63507" w:rsidRDefault="00D63507">
      <w:r w:rsidRPr="00D63507">
        <w:rPr>
          <w:b/>
        </w:rPr>
        <w:t>Full Study:</w:t>
      </w:r>
    </w:p>
    <w:p w14:paraId="25029DB4" w14:textId="77777777" w:rsidR="00D63507" w:rsidRDefault="00D63507"/>
    <w:p w14:paraId="7CCAEF2B" w14:textId="77777777" w:rsidR="00D63507" w:rsidRPr="00D63507" w:rsidRDefault="00D63507">
      <w:pPr>
        <w:rPr>
          <w:b/>
        </w:rPr>
      </w:pPr>
      <w:r w:rsidRPr="00D63507">
        <w:rPr>
          <w:b/>
        </w:rPr>
        <w:t>1. Word Picture / Background</w:t>
      </w:r>
    </w:p>
    <w:p w14:paraId="722F9C3A" w14:textId="77777777" w:rsidR="00D63507" w:rsidRDefault="00D63507">
      <w:r>
        <w:t>Historically, sarx refers to the soft substance of a living body, covering the bones and permeated by blood. In classical Greek, it was used literally for the flesh of animals or humans. In the Old Testament (LXX translating basar), it designated the physical body, human weakness, or humanity as a whole ("all flesh"). While Greek philosophy often viewed physical matter (including the sarx) as inherently evil or a prison for the soul, biblical theology presents sarx as part of God's good creation, though one that has been corrupted by the Fall. In the New Testament, the term expands from its basic physical meaning to denote human frailty, earthly relationships, and, most famously in Pauline theology, the sinful nature of fallen humanity.</w:t>
      </w:r>
    </w:p>
    <w:p w14:paraId="57DE0570" w14:textId="77777777" w:rsidR="00D63507" w:rsidRDefault="00D63507"/>
    <w:p w14:paraId="015D80E5" w14:textId="77777777" w:rsidR="00D63507" w:rsidRPr="00D63507" w:rsidRDefault="00D63507">
      <w:pPr>
        <w:rPr>
          <w:b/>
        </w:rPr>
      </w:pPr>
      <w:r w:rsidRPr="00D63507">
        <w:rPr>
          <w:b/>
        </w:rPr>
        <w:t>2. Meaning / Lexical Definition</w:t>
      </w:r>
    </w:p>
    <w:p w14:paraId="0E6EF4CD" w14:textId="77777777" w:rsidR="00D63507" w:rsidRDefault="00D63507">
      <w:r>
        <w:t>The noun sarx possesses a broad semantic range in the New Testament:</w:t>
      </w:r>
    </w:p>
    <w:p w14:paraId="35AABF81" w14:textId="77777777" w:rsidR="00D63507" w:rsidRDefault="00D63507">
      <w:r>
        <w:t>• The material substance of the living body (flesh and bones).</w:t>
      </w:r>
    </w:p>
    <w:p w14:paraId="669269DA" w14:textId="77777777" w:rsidR="00D63507" w:rsidRDefault="00D63507">
      <w:r>
        <w:t>• The physical body itself, representing physical human existence or mortal life.</w:t>
      </w:r>
    </w:p>
    <w:p w14:paraId="360DD314" w14:textId="77777777" w:rsidR="00D63507" w:rsidRDefault="00D63507">
      <w:r>
        <w:t>• Human nature or humanity in its physical limitations (e.g., "no flesh shall glory").</w:t>
      </w:r>
    </w:p>
    <w:p w14:paraId="24F400D9" w14:textId="77777777" w:rsidR="00D63507" w:rsidRDefault="00D63507">
      <w:r>
        <w:t>• The earthly or physical aspect of life, descent, or human lineage (e.g., "according to the flesh").</w:t>
      </w:r>
    </w:p>
    <w:p w14:paraId="59A91204" w14:textId="77777777" w:rsidR="00D63507" w:rsidRDefault="00D63507">
      <w:r>
        <w:t>• The fallen, unregenerate human nature that is prone to sin and hostile to God (the dominant ethical usage in Paul's letters, such as Romans 8 and Galatians 5).</w:t>
      </w:r>
    </w:p>
    <w:p w14:paraId="60E87227" w14:textId="77777777" w:rsidR="00D63507" w:rsidRDefault="00D63507">
      <w:r>
        <w:t>In Ephesians 2:15, sarx belongs to the literal, physical category, specifically denoting the human body of Jesus Christ offered as a sacrifice.</w:t>
      </w:r>
    </w:p>
    <w:p w14:paraId="780C091A" w14:textId="77777777" w:rsidR="00D63507" w:rsidRDefault="00D63507"/>
    <w:p w14:paraId="4CE079BE" w14:textId="77777777" w:rsidR="00D63507" w:rsidRPr="00D63507" w:rsidRDefault="00D63507">
      <w:pPr>
        <w:rPr>
          <w:b/>
        </w:rPr>
      </w:pPr>
      <w:r w:rsidRPr="00D63507">
        <w:rPr>
          <w:b/>
        </w:rPr>
        <w:t>3. Usage and Word Pictures</w:t>
      </w:r>
    </w:p>
    <w:p w14:paraId="4B861D76" w14:textId="77777777" w:rsidR="00D63507" w:rsidRDefault="00D63507">
      <w:r>
        <w:t>While the word sarx is often associated with the sinful "flesh" that wars against the Spirit, the New Testament also uses it to emphasize the reality of Christ’s incarnation and sacrificial death. This usage serves as a powerful word picture of tangible, physical reality. Christ did not merely abolish the enmity in theory, or through a purely spiritual transaction; He did so "in His flesh"—in a real, historical, suffering human body. This physical imagery anchors the redemption of humanity in historical space and time, opposing any early Gnostic ideas that Jesus only appeared to have a body (Docetism). His torn, crucified flesh became the place where the division of humanity was healed.</w:t>
      </w:r>
    </w:p>
    <w:p w14:paraId="6FE02187" w14:textId="77777777" w:rsidR="00D63507" w:rsidRDefault="00D63507"/>
    <w:p w14:paraId="50C93716" w14:textId="77777777" w:rsidR="00D63507" w:rsidRPr="00D63507" w:rsidRDefault="00D63507">
      <w:pPr>
        <w:rPr>
          <w:b/>
        </w:rPr>
      </w:pPr>
      <w:r w:rsidRPr="00D63507">
        <w:rPr>
          <w:b/>
        </w:rPr>
        <w:t>4. Theological Implications</w:t>
      </w:r>
    </w:p>
    <w:p w14:paraId="58FD0A1D" w14:textId="77777777" w:rsidR="00D63507" w:rsidRDefault="00D63507">
      <w:r>
        <w:t>The theological weight of sarx in Ephesians 2:15 is immense:</w:t>
      </w:r>
    </w:p>
    <w:p w14:paraId="2812D767" w14:textId="77777777" w:rsidR="00D63507" w:rsidRDefault="00D63507">
      <w:r>
        <w:t>• Incarnational Reality: It affirms that salvation was accomplished through the genuine humanity of Jesus. God became sarx (John 1:14) so that He could suffer and die.</w:t>
      </w:r>
    </w:p>
    <w:p w14:paraId="6A5DE756" w14:textId="77777777" w:rsidR="00D63507" w:rsidRDefault="00D63507">
      <w:r>
        <w:t>• Sacrificial Atonement: The abolition of the enmity was achieved by Christ taking the curse of the broken law into His own physical body on the cross (cf. Colossians 1:22; 1 Peter 2:24).</w:t>
      </w:r>
    </w:p>
    <w:p w14:paraId="517CE403" w14:textId="77777777" w:rsidR="00D63507" w:rsidRDefault="00D63507">
      <w:r>
        <w:t>• The End of the Old Covenant: By suffering the penalty of the law "in His flesh," Jesus fulfilled and brought to an end the ceremonial commandments and ordinances that separated Jew and Gentile. His physical death inaugurated the New Covenant, where physical markers (like circumcision in the sarx) no longer determine standing before God.</w:t>
      </w:r>
    </w:p>
    <w:p w14:paraId="33963D4C" w14:textId="77777777" w:rsidR="00D63507" w:rsidRDefault="00D63507"/>
    <w:p w14:paraId="7AB6FE6C" w14:textId="77777777" w:rsidR="00D63507" w:rsidRPr="00D63507" w:rsidRDefault="00D63507">
      <w:pPr>
        <w:rPr>
          <w:b/>
        </w:rPr>
      </w:pPr>
      <w:r w:rsidRPr="00D63507">
        <w:rPr>
          <w:b/>
        </w:rPr>
        <w:t>5. Contextual Nuance in the Passage</w:t>
      </w:r>
    </w:p>
    <w:p w14:paraId="23BED655" w14:textId="77777777" w:rsidR="00D63507" w:rsidRDefault="00D63507">
      <w:r>
        <w:t>In Ephesians 2:11–22, Paul addresses the reconciliation of Jewish and Gentile believers into "one new man." Gentiles were once "far off," separated by the "middle wall of separation" (the law of commandments contained in ordinances). In verse 15, Paul explains that Christ abolished this enmity "in His flesh." This phrase points directly to the cross. By submitting His physical body to death, Jesus bore the curse of the law, satisfying its demands. Consequently, the ceremonial distinctions (such as dietary laws and circumcision) that functioned as barriers between Jews and Gentiles were rendered obsolete. Thus, the physical body of Christ became the instrument of cosmic peace, reconciling both groups to God and to one another.</w:t>
      </w:r>
    </w:p>
    <w:p w14:paraId="5A251B36" w14:textId="77777777" w:rsidR="00D63507" w:rsidRDefault="00D63507"/>
    <w:p w14:paraId="5F269373" w14:textId="77777777" w:rsidR="00D63507" w:rsidRPr="00D63507" w:rsidRDefault="00D63507">
      <w:pPr>
        <w:rPr>
          <w:b/>
        </w:rPr>
      </w:pPr>
      <w:r w:rsidRPr="00D63507">
        <w:rPr>
          <w:b/>
        </w:rPr>
        <w:t>6. Key Uses in Other Verses (NKJV)</w:t>
      </w:r>
    </w:p>
    <w:p w14:paraId="4B50B06E" w14:textId="77777777" w:rsidR="00D63507" w:rsidRDefault="00D63507">
      <w:r>
        <w:t>• John 1:14: "And the Word became flesh and dwelt among us, and we beheld His glory..."</w:t>
      </w:r>
    </w:p>
    <w:p w14:paraId="5B6DEBDA" w14:textId="77777777" w:rsidR="00D63507" w:rsidRDefault="00D63507">
      <w:r>
        <w:t>• Romans 8:3: "For what the law could not do in that it was weak through the flesh, God did by sending His own Son in the likeness of sinful flesh, on account of sin: He condemned sin in the flesh,"</w:t>
      </w:r>
    </w:p>
    <w:p w14:paraId="6493EEEE" w14:textId="77777777" w:rsidR="00D63507" w:rsidRDefault="00D63507">
      <w:r>
        <w:t>• Galatians 5:17: "For the flesh lusts against the Spirit, and the Spirit against the flesh; and these are contrary to one another..."</w:t>
      </w:r>
    </w:p>
    <w:p w14:paraId="72F52492" w14:textId="77777777" w:rsidR="00D63507" w:rsidRDefault="00D63507">
      <w:r>
        <w:t>• Colossians 1:21–22: "And you... He has reconciled in the body of His flesh through death, to present you holy, and blameless..."</w:t>
      </w:r>
    </w:p>
    <w:p w14:paraId="245B7453" w14:textId="77777777" w:rsidR="00D63507" w:rsidRDefault="00D63507">
      <w:r>
        <w:t>• 1 Peter 2:24: "who Himself bore our sins in His own body on the tree, that we, having died to sins, might live for righteousness..."</w:t>
      </w:r>
    </w:p>
    <w:p w14:paraId="4C606C59" w14:textId="77777777" w:rsidR="00D63507" w:rsidRDefault="00D63507"/>
    <w:p w14:paraId="124A241B" w14:textId="77777777" w:rsidR="00D63507" w:rsidRPr="00D63507" w:rsidRDefault="00D63507">
      <w:pPr>
        <w:rPr>
          <w:b/>
        </w:rPr>
      </w:pPr>
      <w:r w:rsidRPr="00D63507">
        <w:rPr>
          <w:b/>
        </w:rPr>
        <w:t>7. Other Relevant Insights</w:t>
      </w:r>
    </w:p>
    <w:p w14:paraId="67D88C9D" w14:textId="77777777" w:rsidR="00D63507" w:rsidRDefault="00D63507">
      <w:r>
        <w:t>A helpful contrast exists in Ephesians 2 between two uses of sarx. In Ephesians 2:11, Paul speaks of "circumcision made in the flesh by hands," which refers to the outward, physical ritual that divided Jews and Gentiles. But in verse 15, it is the sarx of Christ that heals this division. What human hands did to the flesh created division; what God did in the flesh of Christ created unity. Furthermore, this passage parallels Colossians 2:14, where Christ is said to have wiped out the handwriting of requirements by "nailing it to the cross," demonstrating that the physical crucifixion of Jesus was the definitive end of the law's dividing power.</w:t>
      </w:r>
    </w:p>
    <w:p w14:paraId="3E73BC18" w14:textId="77777777" w:rsidR="00D63507" w:rsidRDefault="00D63507"/>
    <w:p w14:paraId="1DC3DBDE" w14:textId="77777777" w:rsidR="00D63507" w:rsidRPr="00D63507" w:rsidRDefault="00D63507">
      <w:pPr>
        <w:rPr>
          <w:b/>
        </w:rPr>
      </w:pPr>
      <w:r w:rsidRPr="00D63507">
        <w:rPr>
          <w:b/>
        </w:rPr>
        <w:t>8. References</w:t>
      </w:r>
    </w:p>
    <w:p w14:paraId="2CBC8943" w14:textId="77777777" w:rsidR="00D63507" w:rsidRDefault="00D63507">
      <w:r>
        <w:t>• BDAG, s.v. "sarx."</w:t>
      </w:r>
    </w:p>
    <w:p w14:paraId="5BDFCFA1" w14:textId="77777777" w:rsidR="00D63507" w:rsidRDefault="00D63507">
      <w:r>
        <w:t>• TDNT, 7:98–151.</w:t>
      </w:r>
    </w:p>
    <w:p w14:paraId="67E60E2D" w14:textId="77777777" w:rsidR="00D63507" w:rsidRDefault="00D63507">
      <w:r>
        <w:t>• Vine's Expository Dictionary of New Testament Words.</w:t>
      </w:r>
    </w:p>
    <w:p w14:paraId="3B59AF56" w14:textId="77777777" w:rsidR="00D63507" w:rsidRDefault="00D63507">
      <w:r>
        <w:t>• Thayer's Greek-English Lexicon of the New Testament.</w:t>
      </w:r>
    </w:p>
    <w:p w14:paraId="0AA104F1" w14:textId="7AA85B51" w:rsidR="004C5552" w:rsidRDefault="00D63507">
      <w:r>
        <w:t>• Blue Letter Bible, Strong's G4561.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3507"/>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4322"/>
  <w15:chartTrackingRefBased/>
  <w15:docId w15:val="{F4F3F33B-5EE7-4A77-8BD7-81BAD2005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3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3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507"/>
    <w:rPr>
      <w:rFonts w:eastAsiaTheme="majorEastAsia" w:cstheme="majorBidi"/>
      <w:color w:val="272727" w:themeColor="text1" w:themeTint="D8"/>
    </w:rPr>
  </w:style>
  <w:style w:type="paragraph" w:styleId="Title">
    <w:name w:val="Title"/>
    <w:basedOn w:val="Normal"/>
    <w:next w:val="Normal"/>
    <w:link w:val="TitleChar"/>
    <w:uiPriority w:val="10"/>
    <w:qFormat/>
    <w:rsid w:val="00D63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507"/>
    <w:pPr>
      <w:spacing w:before="160"/>
      <w:jc w:val="center"/>
    </w:pPr>
    <w:rPr>
      <w:i/>
      <w:iCs/>
      <w:color w:val="404040" w:themeColor="text1" w:themeTint="BF"/>
    </w:rPr>
  </w:style>
  <w:style w:type="character" w:customStyle="1" w:styleId="QuoteChar">
    <w:name w:val="Quote Char"/>
    <w:basedOn w:val="DefaultParagraphFont"/>
    <w:link w:val="Quote"/>
    <w:uiPriority w:val="29"/>
    <w:rsid w:val="00D63507"/>
    <w:rPr>
      <w:i/>
      <w:iCs/>
      <w:color w:val="404040" w:themeColor="text1" w:themeTint="BF"/>
    </w:rPr>
  </w:style>
  <w:style w:type="paragraph" w:styleId="ListParagraph">
    <w:name w:val="List Paragraph"/>
    <w:basedOn w:val="Normal"/>
    <w:uiPriority w:val="34"/>
    <w:qFormat/>
    <w:rsid w:val="00D63507"/>
    <w:pPr>
      <w:ind w:left="720"/>
      <w:contextualSpacing/>
    </w:pPr>
  </w:style>
  <w:style w:type="character" w:styleId="IntenseEmphasis">
    <w:name w:val="Intense Emphasis"/>
    <w:basedOn w:val="DefaultParagraphFont"/>
    <w:uiPriority w:val="21"/>
    <w:qFormat/>
    <w:rsid w:val="00D63507"/>
    <w:rPr>
      <w:i/>
      <w:iCs/>
      <w:color w:val="2E74B5" w:themeColor="accent1" w:themeShade="BF"/>
    </w:rPr>
  </w:style>
  <w:style w:type="paragraph" w:styleId="IntenseQuote">
    <w:name w:val="Intense Quote"/>
    <w:basedOn w:val="Normal"/>
    <w:next w:val="Normal"/>
    <w:link w:val="IntenseQuoteChar"/>
    <w:uiPriority w:val="30"/>
    <w:qFormat/>
    <w:rsid w:val="00D635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3507"/>
    <w:rPr>
      <w:i/>
      <w:iCs/>
      <w:color w:val="2E74B5" w:themeColor="accent1" w:themeShade="BF"/>
    </w:rPr>
  </w:style>
  <w:style w:type="character" w:styleId="IntenseReference">
    <w:name w:val="Intense Reference"/>
    <w:basedOn w:val="DefaultParagraphFont"/>
    <w:uiPriority w:val="32"/>
    <w:qFormat/>
    <w:rsid w:val="00D635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5028</Characters>
  <Application>Microsoft Office Word</Application>
  <DocSecurity>0</DocSecurity>
  <Lines>96</Lines>
  <Paragraphs>52</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