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5F6CF" w14:textId="77777777" w:rsidR="00A12F9D" w:rsidRPr="00A12F9D" w:rsidRDefault="00A12F9D">
      <w:pPr>
        <w:rPr>
          <w:b/>
        </w:rPr>
      </w:pPr>
      <w:r w:rsidRPr="00A12F9D">
        <w:rPr>
          <w:b/>
        </w:rPr>
        <w:t>FLESH - ( sarx , Strong's G4561 )</w:t>
      </w:r>
    </w:p>
    <w:p w14:paraId="79750B8F" w14:textId="77777777" w:rsidR="00A12F9D" w:rsidRDefault="00A12F9D">
      <w:r w:rsidRPr="00A12F9D">
        <w:rPr>
          <w:b/>
        </w:rPr>
        <w:t>Summary:</w:t>
      </w:r>
    </w:p>
    <w:p w14:paraId="580C05A4" w14:textId="77777777" w:rsidR="00A12F9D" w:rsidRDefault="00A12F9D">
      <w:r>
        <w:t>In Ephesians 2:3, "flesh" (sarx) refers to the fallen, unredeemed human nature that is dominated by sinful desires and alienated from God. Rather than merely referring to physical muscle or skin, Paul uses the term here in an ethical and theological sense to describe the internal driver of rebellion, appetite, and self-will that characterizes humanity apart from the regenerating power of the Holy Spirit.</w:t>
      </w:r>
    </w:p>
    <w:p w14:paraId="42AB190B" w14:textId="77777777" w:rsidR="00A12F9D" w:rsidRDefault="00A12F9D"/>
    <w:p w14:paraId="65B23773" w14:textId="77777777" w:rsidR="00A12F9D" w:rsidRDefault="00A12F9D">
      <w:r w:rsidRPr="00A12F9D">
        <w:rPr>
          <w:b/>
        </w:rPr>
        <w:t>Full Study:</w:t>
      </w:r>
    </w:p>
    <w:p w14:paraId="627E7AA3" w14:textId="77777777" w:rsidR="00A12F9D" w:rsidRDefault="00A12F9D"/>
    <w:p w14:paraId="3B9A8A30" w14:textId="77777777" w:rsidR="00A12F9D" w:rsidRPr="00A12F9D" w:rsidRDefault="00A12F9D">
      <w:pPr>
        <w:rPr>
          <w:b/>
        </w:rPr>
      </w:pPr>
      <w:r w:rsidRPr="00A12F9D">
        <w:rPr>
          <w:b/>
        </w:rPr>
        <w:t>1. Word Picture / Background</w:t>
      </w:r>
    </w:p>
    <w:p w14:paraId="68425888" w14:textId="77777777" w:rsidR="00A12F9D" w:rsidRDefault="00A12F9D">
      <w:r>
        <w:t>Historically, sarx referred physically to the soft substance of the living body (flesh, muscle, and fat) as opposed to bones or blood. In classical Greek, it described the physical constitution of humans and animals. Over time, particularly in Jewish-Hellenistic literature (such as the Septuagint) and dramatically in Pauline theology, the term took on an ethical coloring. It came to represent human weakness, mortality, and eventually the seat of sin. It represents humanity in its creaturely frailty, and, when contrasted with the Spirit (pneuma), humanity in active opposition to God.</w:t>
      </w:r>
    </w:p>
    <w:p w14:paraId="67C55DD8" w14:textId="77777777" w:rsidR="00A12F9D" w:rsidRDefault="00A12F9D"/>
    <w:p w14:paraId="475D585E" w14:textId="77777777" w:rsidR="00A12F9D" w:rsidRPr="00A12F9D" w:rsidRDefault="00A12F9D">
      <w:pPr>
        <w:rPr>
          <w:b/>
        </w:rPr>
      </w:pPr>
      <w:r w:rsidRPr="00A12F9D">
        <w:rPr>
          <w:b/>
        </w:rPr>
        <w:t>2. Meaning / Lexical Definition</w:t>
      </w:r>
    </w:p>
    <w:p w14:paraId="0B7300B6" w14:textId="77777777" w:rsidR="00A12F9D" w:rsidRDefault="00A12F9D">
      <w:r>
        <w:t>The word sarx has a broad semantic range:</w:t>
      </w:r>
    </w:p>
    <w:p w14:paraId="4A1E2295" w14:textId="77777777" w:rsidR="00A12F9D" w:rsidRDefault="00A12F9D">
      <w:r>
        <w:t>• Physical flesh or body tissue (Luke 24:39; 1 Cor 15:39).</w:t>
      </w:r>
    </w:p>
    <w:p w14:paraId="7F6CBB1F" w14:textId="77777777" w:rsidR="00A12F9D" w:rsidRDefault="00A12F9D">
      <w:r>
        <w:t>• The physical body as a whole (Gal 2:20; 2 Cor 4:11).</w:t>
      </w:r>
    </w:p>
    <w:p w14:paraId="1BB25B55" w14:textId="77777777" w:rsidR="00A12F9D" w:rsidRDefault="00A12F9D">
      <w:r>
        <w:t>• Human descent, lineage, or physical relations (Rom 1:3; Rom 9:3).</w:t>
      </w:r>
    </w:p>
    <w:p w14:paraId="0EEAECCC" w14:textId="77777777" w:rsidR="00A12F9D" w:rsidRDefault="00A12F9D">
      <w:r>
        <w:t>• Humanity in general, human nature (John 1:14; Rom 3:20).</w:t>
      </w:r>
    </w:p>
    <w:p w14:paraId="4EB7337F" w14:textId="77777777" w:rsidR="00A12F9D" w:rsidRDefault="00A12F9D">
      <w:r>
        <w:t>• The sinful human nature, the earthly, unspiritual part of humanity that is prone to sin and opposed to God's law (Rom 7:18; Gal 5:19-21; Eph 2:3).</w:t>
      </w:r>
    </w:p>
    <w:p w14:paraId="4E7F9B69" w14:textId="77777777" w:rsidR="00A12F9D" w:rsidRDefault="00A12F9D"/>
    <w:p w14:paraId="3212A989" w14:textId="77777777" w:rsidR="00A12F9D" w:rsidRPr="00A12F9D" w:rsidRDefault="00A12F9D">
      <w:pPr>
        <w:rPr>
          <w:b/>
        </w:rPr>
      </w:pPr>
      <w:r w:rsidRPr="00A12F9D">
        <w:rPr>
          <w:b/>
        </w:rPr>
        <w:t>3. Usage and Word Pictures</w:t>
      </w:r>
    </w:p>
    <w:p w14:paraId="0B840A62" w14:textId="77777777" w:rsidR="00A12F9D" w:rsidRDefault="00A12F9D">
      <w:r>
        <w:t>Paul often uses sarx as a personified force or a sphere of existence. To be "in the flesh" (Rom 8:8) is to be unregenerate, controlled by the lower nature. The "works of the flesh" (Gal 5:19) are contrasted with the "fruit of the Spirit" (Gal 5:22). The word-picture is one of a domestic rebel—an internal, traitorous disposition that responds to the temptations of the world and the devil. It represents the self-centered life that demands its own way, independent of God.</w:t>
      </w:r>
    </w:p>
    <w:p w14:paraId="019A383E" w14:textId="77777777" w:rsidR="00A12F9D" w:rsidRDefault="00A12F9D"/>
    <w:p w14:paraId="1AC77434" w14:textId="77777777" w:rsidR="00A12F9D" w:rsidRPr="00A12F9D" w:rsidRDefault="00A12F9D">
      <w:pPr>
        <w:rPr>
          <w:b/>
        </w:rPr>
      </w:pPr>
      <w:r w:rsidRPr="00A12F9D">
        <w:rPr>
          <w:b/>
        </w:rPr>
        <w:t>4. Theological Implications</w:t>
      </w:r>
    </w:p>
    <w:p w14:paraId="1D1AD436" w14:textId="77777777" w:rsidR="00A12F9D" w:rsidRDefault="00A12F9D">
      <w:r>
        <w:t>In New Testament theology, sarx is central to hamartiology (the doctrine of sin) and sanctification. It demonstrates that sin is not merely an external, superficial stain but an inward, structural corruption affecting the desires, intellect, and will. The flesh is completely incapable of pleasing God or submitting to His law (Rom 8:7-8). Salvation does not eradicate the physical body, but it breaks the dominion of the sarx, allowing the believer to walk in the Spirit, though a daily struggle remains (Gal 5:17).</w:t>
      </w:r>
    </w:p>
    <w:p w14:paraId="607C2D8A" w14:textId="77777777" w:rsidR="00A12F9D" w:rsidRDefault="00A12F9D"/>
    <w:p w14:paraId="7386F217" w14:textId="77777777" w:rsidR="00A12F9D" w:rsidRPr="00A12F9D" w:rsidRDefault="00A12F9D">
      <w:pPr>
        <w:rPr>
          <w:b/>
        </w:rPr>
      </w:pPr>
      <w:r w:rsidRPr="00A12F9D">
        <w:rPr>
          <w:b/>
        </w:rPr>
        <w:t>5. Contextual Nuance in the Passage</w:t>
      </w:r>
    </w:p>
    <w:p w14:paraId="7E5CB3EA" w14:textId="77777777" w:rsidR="00A12F9D" w:rsidRDefault="00A12F9D">
      <w:r>
        <w:t>In Ephesians 2:3, the word occurs twice: "the lusts of our flesh" (epithymiais tes sarkos hemon) and "the desires of the flesh and of the mind" (thelemata tes sarkos kai ton dianoion). Paul is describing the universal plight of humanity before salvation. The "flesh" operates in tandem with the world (v. 2) and the devil (v. 2) to enslave the unbeliever. The distinction Paul makes between the "desires of the flesh" and "of the mind" is crucial. It shows that the "flesh" is not limited to physical, sensual sins like gluttony or sexual immorality. It also encompasses intellectual, spiritual, and emotional sins like pride, envy, heresy, and self-righteousness. The unregenerate mind itself is a tool of the flesh.</w:t>
      </w:r>
    </w:p>
    <w:p w14:paraId="5131AAAD" w14:textId="77777777" w:rsidR="00A12F9D" w:rsidRDefault="00A12F9D"/>
    <w:p w14:paraId="7994BFF1" w14:textId="77777777" w:rsidR="00A12F9D" w:rsidRPr="00A12F9D" w:rsidRDefault="00A12F9D">
      <w:pPr>
        <w:rPr>
          <w:b/>
        </w:rPr>
      </w:pPr>
      <w:r w:rsidRPr="00A12F9D">
        <w:rPr>
          <w:b/>
        </w:rPr>
        <w:t>6. Key Uses in Other Verses (NKJV)</w:t>
      </w:r>
    </w:p>
    <w:p w14:paraId="0F91ED0D" w14:textId="77777777" w:rsidR="00A12F9D" w:rsidRDefault="00A12F9D">
      <w:r>
        <w:t>• Romans 8:8 - "So then, those who are in the flesh cannot please God."</w:t>
      </w:r>
    </w:p>
    <w:p w14:paraId="65C4AB9E" w14:textId="77777777" w:rsidR="00A12F9D" w:rsidRDefault="00A12F9D">
      <w:r>
        <w:t>• Galatians 5:17 - "For the flesh lusts against the Spirit, and the Spirit against the flesh..."</w:t>
      </w:r>
    </w:p>
    <w:p w14:paraId="146BABF9" w14:textId="77777777" w:rsidR="00A12F9D" w:rsidRDefault="00A12F9D">
      <w:r>
        <w:t>• Galatians 5:19 - "Now the works of the flesh are evident, which are: adultery, fornication, uncleanness, lewdness..."</w:t>
      </w:r>
    </w:p>
    <w:p w14:paraId="0508CBD1" w14:textId="77777777" w:rsidR="00A12F9D" w:rsidRDefault="00A12F9D">
      <w:r>
        <w:t>• John 3:6 - "That which is born of the flesh is flesh, and that which is born of the Spirit is spirit."</w:t>
      </w:r>
    </w:p>
    <w:p w14:paraId="6A5F236B" w14:textId="77777777" w:rsidR="00A12F9D" w:rsidRDefault="00A12F9D"/>
    <w:p w14:paraId="1DA1A272" w14:textId="77777777" w:rsidR="00A12F9D" w:rsidRPr="00A12F9D" w:rsidRDefault="00A12F9D">
      <w:pPr>
        <w:rPr>
          <w:b/>
        </w:rPr>
      </w:pPr>
      <w:r w:rsidRPr="00A12F9D">
        <w:rPr>
          <w:b/>
        </w:rPr>
        <w:t>7. Other Relevant Insights</w:t>
      </w:r>
    </w:p>
    <w:p w14:paraId="79FAD302" w14:textId="77777777" w:rsidR="00A12F9D" w:rsidRDefault="00A12F9D">
      <w:r>
        <w:t>The distinction between soma (body) and sarx (flesh) is vital. The soma is morally neutral and is to be offered as a living sacrifice to God (Rom 12:1). The sarx (in its ethical sense) is inherently corrupt and must be crucified (Gal 5:24). Mistaking sarx for the physical body historically led to asceticism—the belief that punishing the physical body would eradicate sin—a practice Paul explicitly refutes (Col 2:23).</w:t>
      </w:r>
    </w:p>
    <w:p w14:paraId="4987FD42" w14:textId="77777777" w:rsidR="00A12F9D" w:rsidRDefault="00A12F9D"/>
    <w:p w14:paraId="385BC278" w14:textId="77777777" w:rsidR="00A12F9D" w:rsidRPr="00A12F9D" w:rsidRDefault="00A12F9D">
      <w:pPr>
        <w:rPr>
          <w:b/>
        </w:rPr>
      </w:pPr>
      <w:r w:rsidRPr="00A12F9D">
        <w:rPr>
          <w:b/>
        </w:rPr>
        <w:t>8. References</w:t>
      </w:r>
    </w:p>
    <w:p w14:paraId="41DE78DF" w14:textId="77777777" w:rsidR="00A12F9D" w:rsidRDefault="00A12F9D">
      <w:r>
        <w:t>• BDAG</w:t>
      </w:r>
    </w:p>
    <w:p w14:paraId="5586BDD1" w14:textId="77777777" w:rsidR="00A12F9D" w:rsidRDefault="00A12F9D">
      <w:r>
        <w:t>• TDNT / Little Kittel</w:t>
      </w:r>
    </w:p>
    <w:p w14:paraId="2E2A1B03" w14:textId="77777777" w:rsidR="00A12F9D" w:rsidRDefault="00A12F9D">
      <w:r>
        <w:t>• Vine's Expository Dictionary of New Testament Words</w:t>
      </w:r>
    </w:p>
    <w:p w14:paraId="13B12084" w14:textId="77777777" w:rsidR="00A12F9D" w:rsidRDefault="00A12F9D">
      <w:r>
        <w:t>• Thayer's Greek-English Lexicon</w:t>
      </w:r>
    </w:p>
    <w:p w14:paraId="641D2E47" w14:textId="77777777" w:rsidR="00A12F9D" w:rsidRDefault="00A12F9D">
      <w:r>
        <w:t>• Zodhiates' Complete Word Study Dictionary: New Testament</w:t>
      </w:r>
    </w:p>
    <w:p w14:paraId="67797B41" w14:textId="77777777" w:rsidR="00A12F9D" w:rsidRDefault="00A12F9D">
      <w:r>
        <w:t>• Precept Austin</w:t>
      </w:r>
    </w:p>
    <w:p w14:paraId="6955C0A5" w14:textId="3A7A5776" w:rsidR="004C5552" w:rsidRDefault="00A12F9D">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2F9D"/>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10C7"/>
  <w15:chartTrackingRefBased/>
  <w15:docId w15:val="{3A752D32-7FE1-4290-BB41-38AB2355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2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2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F9D"/>
    <w:rPr>
      <w:rFonts w:eastAsiaTheme="majorEastAsia" w:cstheme="majorBidi"/>
      <w:color w:val="272727" w:themeColor="text1" w:themeTint="D8"/>
    </w:rPr>
  </w:style>
  <w:style w:type="paragraph" w:styleId="Title">
    <w:name w:val="Title"/>
    <w:basedOn w:val="Normal"/>
    <w:next w:val="Normal"/>
    <w:link w:val="TitleChar"/>
    <w:uiPriority w:val="10"/>
    <w:qFormat/>
    <w:rsid w:val="00A12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F9D"/>
    <w:pPr>
      <w:spacing w:before="160"/>
      <w:jc w:val="center"/>
    </w:pPr>
    <w:rPr>
      <w:i/>
      <w:iCs/>
      <w:color w:val="404040" w:themeColor="text1" w:themeTint="BF"/>
    </w:rPr>
  </w:style>
  <w:style w:type="character" w:customStyle="1" w:styleId="QuoteChar">
    <w:name w:val="Quote Char"/>
    <w:basedOn w:val="DefaultParagraphFont"/>
    <w:link w:val="Quote"/>
    <w:uiPriority w:val="29"/>
    <w:rsid w:val="00A12F9D"/>
    <w:rPr>
      <w:i/>
      <w:iCs/>
      <w:color w:val="404040" w:themeColor="text1" w:themeTint="BF"/>
    </w:rPr>
  </w:style>
  <w:style w:type="paragraph" w:styleId="ListParagraph">
    <w:name w:val="List Paragraph"/>
    <w:basedOn w:val="Normal"/>
    <w:uiPriority w:val="34"/>
    <w:qFormat/>
    <w:rsid w:val="00A12F9D"/>
    <w:pPr>
      <w:ind w:left="720"/>
      <w:contextualSpacing/>
    </w:pPr>
  </w:style>
  <w:style w:type="character" w:styleId="IntenseEmphasis">
    <w:name w:val="Intense Emphasis"/>
    <w:basedOn w:val="DefaultParagraphFont"/>
    <w:uiPriority w:val="21"/>
    <w:qFormat/>
    <w:rsid w:val="00A12F9D"/>
    <w:rPr>
      <w:i/>
      <w:iCs/>
      <w:color w:val="2E74B5" w:themeColor="accent1" w:themeShade="BF"/>
    </w:rPr>
  </w:style>
  <w:style w:type="paragraph" w:styleId="IntenseQuote">
    <w:name w:val="Intense Quote"/>
    <w:basedOn w:val="Normal"/>
    <w:next w:val="Normal"/>
    <w:link w:val="IntenseQuoteChar"/>
    <w:uiPriority w:val="30"/>
    <w:qFormat/>
    <w:rsid w:val="00A12F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2F9D"/>
    <w:rPr>
      <w:i/>
      <w:iCs/>
      <w:color w:val="2E74B5" w:themeColor="accent1" w:themeShade="BF"/>
    </w:rPr>
  </w:style>
  <w:style w:type="character" w:styleId="IntenseReference">
    <w:name w:val="Intense Reference"/>
    <w:basedOn w:val="DefaultParagraphFont"/>
    <w:uiPriority w:val="32"/>
    <w:qFormat/>
    <w:rsid w:val="00A12F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720</Words>
  <Characters>3745</Characters>
  <Application>Microsoft Office Word</Application>
  <DocSecurity>0</DocSecurity>
  <Lines>72</Lines>
  <Paragraphs>39</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