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62F14" w14:textId="77777777" w:rsidR="00CB1BA9" w:rsidRPr="00CB1BA9" w:rsidRDefault="00CB1BA9">
      <w:pPr>
        <w:rPr>
          <w:b/>
        </w:rPr>
      </w:pPr>
      <w:r w:rsidRPr="00CB1BA9">
        <w:rPr>
          <w:b/>
        </w:rPr>
        <w:t>WORKS - ( ergon, Strong's G2041 )</w:t>
      </w:r>
    </w:p>
    <w:p w14:paraId="59EA9D9E" w14:textId="77777777" w:rsidR="00CB1BA9" w:rsidRDefault="00CB1BA9">
      <w:r w:rsidRPr="00CB1BA9">
        <w:rPr>
          <w:b/>
        </w:rPr>
        <w:t>Summary:</w:t>
      </w:r>
    </w:p>
    <w:p w14:paraId="778400FE" w14:textId="77777777" w:rsidR="00CB1BA9" w:rsidRDefault="00CB1BA9">
      <w:r>
        <w:t>In Ephesians 2:9, the word "works" (ergon) refers to any human actions, deeds, moral achievements, or religious performances undertaken to earn favor, standing, or salvation before God. Paul uses this word to emphatically exclude human merit from the equation of salvation. Salvation is entirely a gift of divine grace received through faith, leaving no room for human boasting. However, while works are completely rejected as the root or cause of salvation, they are immediately reinstated in the following verse as its necessary fruit—the preordained lifestyle of the redeemed believer.</w:t>
      </w:r>
    </w:p>
    <w:p w14:paraId="59824328" w14:textId="77777777" w:rsidR="00CB1BA9" w:rsidRDefault="00CB1BA9"/>
    <w:p w14:paraId="2CCF808A" w14:textId="77777777" w:rsidR="00CB1BA9" w:rsidRDefault="00CB1BA9">
      <w:r w:rsidRPr="00CB1BA9">
        <w:rPr>
          <w:b/>
        </w:rPr>
        <w:t>Full Study:</w:t>
      </w:r>
    </w:p>
    <w:p w14:paraId="4DB0D157" w14:textId="77777777" w:rsidR="00CB1BA9" w:rsidRDefault="00CB1BA9"/>
    <w:p w14:paraId="44BA32B0" w14:textId="77777777" w:rsidR="00CB1BA9" w:rsidRPr="00CB1BA9" w:rsidRDefault="00CB1BA9">
      <w:pPr>
        <w:rPr>
          <w:b/>
        </w:rPr>
      </w:pPr>
      <w:r w:rsidRPr="00CB1BA9">
        <w:rPr>
          <w:b/>
        </w:rPr>
        <w:t xml:space="preserve"> 1. Word Picture / Background</w:t>
      </w:r>
    </w:p>
    <w:p w14:paraId="37C3F451" w14:textId="77777777" w:rsidR="00CB1BA9" w:rsidRDefault="00CB1BA9">
      <w:r>
        <w:t xml:space="preserve">The Greek noun ergon derives from the ancient Indo-European root werg-, which is the direct etymological ancestor of the English word "work." In classical Greek, ergon was a broad term denoting any physical action, deed, occupation, business, or the tangible product of labor (such as a building, a statue, or a book). </w:t>
      </w:r>
    </w:p>
    <w:p w14:paraId="252288A2" w14:textId="77777777" w:rsidR="00CB1BA9" w:rsidRDefault="00CB1BA9"/>
    <w:p w14:paraId="6DF62201" w14:textId="77777777" w:rsidR="00CB1BA9" w:rsidRDefault="00CB1BA9">
      <w:r>
        <w:t xml:space="preserve">Historically, the Greeks frequently contrasted ergon (deed or action) with logos (word or speech). This contrast emphasized reality versus mere talk. In the Septuagint (the Greek translation of the Old Testament), ergon was used to translate the Hebrew word ma'aseh, referring both to the creative acts of God and the daily labors or moral actions of human beings. </w:t>
      </w:r>
    </w:p>
    <w:p w14:paraId="4B1F2C7F" w14:textId="77777777" w:rsidR="00CB1BA9" w:rsidRDefault="00CB1BA9"/>
    <w:p w14:paraId="030BBE0A" w14:textId="77777777" w:rsidR="00CB1BA9" w:rsidRPr="00CB1BA9" w:rsidRDefault="00CB1BA9">
      <w:pPr>
        <w:rPr>
          <w:b/>
        </w:rPr>
      </w:pPr>
      <w:r w:rsidRPr="00CB1BA9">
        <w:rPr>
          <w:b/>
        </w:rPr>
        <w:t xml:space="preserve"> 2. Meaning / Lexical Definition</w:t>
      </w:r>
    </w:p>
    <w:p w14:paraId="1AC19A03" w14:textId="77777777" w:rsidR="00CB1BA9" w:rsidRDefault="00CB1BA9">
      <w:r>
        <w:t>The term ergon refers to a deed, action, task, accomplishment, or the result of work. In the New Testament, its semantic range includes:</w:t>
      </w:r>
    </w:p>
    <w:p w14:paraId="3C24031D" w14:textId="77777777" w:rsidR="00CB1BA9" w:rsidRDefault="00CB1BA9">
      <w:r>
        <w:t>• Active deeds or behaviors, whether moral or immoral (e.g., "works of darkness").</w:t>
      </w:r>
    </w:p>
    <w:p w14:paraId="05B4828C" w14:textId="77777777" w:rsidR="00CB1BA9" w:rsidRDefault="00CB1BA9">
      <w:r>
        <w:t>• The miraculous deeds and actions of God or Jesus Christ.</w:t>
      </w:r>
    </w:p>
    <w:p w14:paraId="331A5A33" w14:textId="77777777" w:rsidR="00CB1BA9" w:rsidRDefault="00CB1BA9">
      <w:r>
        <w:t>• Business, labor, or a specific task assigned to an individual.</w:t>
      </w:r>
    </w:p>
    <w:p w14:paraId="06C4AB8D" w14:textId="77777777" w:rsidR="00CB1BA9" w:rsidRDefault="00CB1BA9">
      <w:r>
        <w:t>• Human efforts and religious observances performed to attain righteousness or legal standing before God (frequently contrasted with faith).</w:t>
      </w:r>
    </w:p>
    <w:p w14:paraId="15B23342" w14:textId="77777777" w:rsidR="00CB1BA9" w:rsidRDefault="00CB1BA9"/>
    <w:p w14:paraId="6BCC49A6" w14:textId="77777777" w:rsidR="00CB1BA9" w:rsidRDefault="00CB1BA9">
      <w:r>
        <w:t>In the Pauline epistles, ergon often carries a specialized theological sense. It represents any self-directed human activity—whether ceremonial obedience to the Mosaic Law or general moral achievements—offered to God as a basis for justification.</w:t>
      </w:r>
    </w:p>
    <w:p w14:paraId="7F736BC0" w14:textId="77777777" w:rsidR="00CB1BA9" w:rsidRDefault="00CB1BA9"/>
    <w:p w14:paraId="4A5C4940" w14:textId="77777777" w:rsidR="00CB1BA9" w:rsidRPr="00CB1BA9" w:rsidRDefault="00CB1BA9">
      <w:pPr>
        <w:rPr>
          <w:b/>
        </w:rPr>
      </w:pPr>
      <w:r w:rsidRPr="00CB1BA9">
        <w:rPr>
          <w:b/>
        </w:rPr>
        <w:t xml:space="preserve"> 3. Usage and Word Pictures</w:t>
      </w:r>
    </w:p>
    <w:p w14:paraId="4323B8D8" w14:textId="77777777" w:rsidR="00CB1BA9" w:rsidRDefault="00CB1BA9">
      <w:r>
        <w:t>The New Testament utilizes ergon in several distinct theological contexts:</w:t>
      </w:r>
    </w:p>
    <w:p w14:paraId="2D2E33AD" w14:textId="77777777" w:rsidR="00CB1BA9" w:rsidRDefault="00CB1BA9">
      <w:r>
        <w:t>• The Works of the Law (erga nomou): In Romans and Galatians, Paul specifically targets the "works of the law" (circumcision, dietary laws, Sabbath-keeping) to show that keeping the outward covenant markers of Israel cannot justify a sinner.</w:t>
      </w:r>
    </w:p>
    <w:p w14:paraId="0E286BD6" w14:textId="77777777" w:rsidR="00CB1BA9" w:rsidRDefault="00CB1BA9">
      <w:r>
        <w:t>• The Contrast of Faith and Works: Throughout the New Testament, ergon is contrasted with pistis (faith). Faith is receptive, resting in the work of another; works are active, seeking to produce or earn.</w:t>
      </w:r>
    </w:p>
    <w:p w14:paraId="5247BEB5" w14:textId="77777777" w:rsidR="00CB1BA9" w:rsidRDefault="00CB1BA9">
      <w:r>
        <w:t>• Good Works (erga agatha): While works cannot save, they are the expected and natural outcome of a transformed heart. Believers are exhourced to be "rich in good works" (1 Timothy 6:18) and to let their light shine through their good works (Matthew 5:16).</w:t>
      </w:r>
    </w:p>
    <w:p w14:paraId="5EED1F76" w14:textId="77777777" w:rsidR="00CB1BA9" w:rsidRDefault="00CB1BA9">
      <w:r>
        <w:t>• The Work of God: Jesus describes the ultimate human requirement not as a series of moral accomplishments, but as faith: "This is the work of God, that you believe in Him whom He sent" (John 6:29).</w:t>
      </w:r>
    </w:p>
    <w:p w14:paraId="39F7E877" w14:textId="77777777" w:rsidR="00CB1BA9" w:rsidRDefault="00CB1BA9"/>
    <w:p w14:paraId="23EE6CCB" w14:textId="77777777" w:rsidR="00CB1BA9" w:rsidRPr="00CB1BA9" w:rsidRDefault="00CB1BA9">
      <w:pPr>
        <w:rPr>
          <w:b/>
        </w:rPr>
      </w:pPr>
      <w:r w:rsidRPr="00CB1BA9">
        <w:rPr>
          <w:b/>
        </w:rPr>
        <w:t xml:space="preserve"> 4. Theological Implications</w:t>
      </w:r>
    </w:p>
    <w:p w14:paraId="5741568A" w14:textId="77777777" w:rsidR="00CB1BA9" w:rsidRDefault="00CB1BA9">
      <w:r>
        <w:t xml:space="preserve">The theological weight of ergon in Ephesians 2:9 is monumental. By stating that salvation is "not of works," Paul rules out any synergistic contribution from humanity in the act of justification. </w:t>
      </w:r>
    </w:p>
    <w:p w14:paraId="5976D027" w14:textId="77777777" w:rsidR="00CB1BA9" w:rsidRDefault="00CB1BA9"/>
    <w:p w14:paraId="68D943AE" w14:textId="77777777" w:rsidR="00CB1BA9" w:rsidRDefault="00CB1BA9">
      <w:r>
        <w:t xml:space="preserve">Salvation is entirely monergistic—initiated, sustained, and completed by God's sovereign grace. If human works contributed even a fraction of the merit required for salvation, the work of Christ on the cross would be insufficient, and grace would no longer be free, unmerited favor. </w:t>
      </w:r>
    </w:p>
    <w:p w14:paraId="7A4FE022" w14:textId="77777777" w:rsidR="00CB1BA9" w:rsidRDefault="00CB1BA9"/>
    <w:p w14:paraId="2E8A5796" w14:textId="77777777" w:rsidR="00CB1BA9" w:rsidRDefault="00CB1BA9">
      <w:r>
        <w:t>Furthermore, the exclusion of works safeguards the glory of God. If salvation were by works, humans would have a legitimate ground for boasting (kauchesis). By making salvation entirely a gift, God eliminates human pride and ensures that all glory, praise, and honor belong solely to Him.</w:t>
      </w:r>
    </w:p>
    <w:p w14:paraId="4AAAE846" w14:textId="77777777" w:rsidR="00CB1BA9" w:rsidRDefault="00CB1BA9"/>
    <w:p w14:paraId="524105B7" w14:textId="77777777" w:rsidR="00CB1BA9" w:rsidRPr="00CB1BA9" w:rsidRDefault="00CB1BA9">
      <w:pPr>
        <w:rPr>
          <w:b/>
        </w:rPr>
      </w:pPr>
      <w:r w:rsidRPr="00CB1BA9">
        <w:rPr>
          <w:b/>
        </w:rPr>
        <w:t xml:space="preserve"> 5. Contextual Nuance in the Passage</w:t>
      </w:r>
    </w:p>
    <w:p w14:paraId="46325B90" w14:textId="77777777" w:rsidR="00CB1BA9" w:rsidRDefault="00CB1BA9">
      <w:r>
        <w:t>In the immediate flow of Ephesians 2:8-10, Paul constructs a careful argument:</w:t>
      </w:r>
    </w:p>
    <w:p w14:paraId="524D5365" w14:textId="77777777" w:rsidR="00CB1BA9" w:rsidRDefault="00CB1BA9">
      <w:r>
        <w:t>• The Source (v. 8): Grace is the source, faith is the channel, and the entire package is "the gift of God."</w:t>
      </w:r>
    </w:p>
    <w:p w14:paraId="1DC9E537" w14:textId="77777777" w:rsidR="00CB1BA9" w:rsidRDefault="00CB1BA9">
      <w:r>
        <w:t>• The Exclusion (v. 9): Salvation is "not of works, lest anyone should boast." Here, ergon is plural (ergon), capturing every conceivable form of human achievement—moral excellence, religious ritual, philanthropic service, and cultural pedigree. None of these can bridge the chasm of spiritual death described in verses 1–3.</w:t>
      </w:r>
    </w:p>
    <w:p w14:paraId="171152F4" w14:textId="77777777" w:rsidR="00CB1BA9" w:rsidRDefault="00CB1BA9">
      <w:r>
        <w:t>• The Purpose (v. 10): Having stripped human works of any saving value, Paul immediately reintroduces them in verse 10. Believers are "created in Christ Jesus for good works."</w:t>
      </w:r>
    </w:p>
    <w:p w14:paraId="60B6A09F" w14:textId="77777777" w:rsidR="00CB1BA9" w:rsidRDefault="00CB1BA9"/>
    <w:p w14:paraId="08DC9A2B" w14:textId="77777777" w:rsidR="00CB1BA9" w:rsidRDefault="00CB1BA9">
      <w:r>
        <w:t>The nuance is critical: we are not saved by good works, but we are saved unto good works. Works are not the price of admission; they are the evidence of transformation. They are not the root of salvation; they are the inevitable fruit.</w:t>
      </w:r>
    </w:p>
    <w:p w14:paraId="01055049" w14:textId="77777777" w:rsidR="00CB1BA9" w:rsidRDefault="00CB1BA9"/>
    <w:p w14:paraId="5CC43FFE" w14:textId="77777777" w:rsidR="00CB1BA9" w:rsidRPr="00CB1BA9" w:rsidRDefault="00CB1BA9">
      <w:pPr>
        <w:rPr>
          <w:b/>
        </w:rPr>
      </w:pPr>
      <w:r w:rsidRPr="00CB1BA9">
        <w:rPr>
          <w:b/>
        </w:rPr>
        <w:t xml:space="preserve"> 6. Key Uses in Other Verses (NKJV)</w:t>
      </w:r>
    </w:p>
    <w:p w14:paraId="45B959A3" w14:textId="77777777" w:rsidR="00CB1BA9" w:rsidRDefault="00CB1BA9">
      <w:r>
        <w:t>• Romans 4:2 - "For if Abraham was justified by works, he has something to boast about, but not before God."</w:t>
      </w:r>
    </w:p>
    <w:p w14:paraId="17A7AFD5" w14:textId="77777777" w:rsidR="00CB1BA9" w:rsidRDefault="00CB1BA9">
      <w:r>
        <w:t>• Ephesians 2:10 - "For we are His workmanship, created in Christ Jesus for good works, which God prepared beforehand that we should walk in them."</w:t>
      </w:r>
    </w:p>
    <w:p w14:paraId="0B2DDF2A" w14:textId="77777777" w:rsidR="00CB1BA9" w:rsidRDefault="00CB1BA9">
      <w:r>
        <w:t>• Titus 3:5 - "not by works of righteousness which we have done, but according to His mercy He saved us..."</w:t>
      </w:r>
    </w:p>
    <w:p w14:paraId="7C3C2C32" w14:textId="77777777" w:rsidR="00CB1BA9" w:rsidRDefault="00CB1BA9">
      <w:r>
        <w:t>• James 2:26 - "For as the body without the spirit is dead, so faith without works is dead also."</w:t>
      </w:r>
    </w:p>
    <w:p w14:paraId="467CEB2C" w14:textId="77777777" w:rsidR="00CB1BA9" w:rsidRDefault="00CB1BA9"/>
    <w:p w14:paraId="38823840" w14:textId="77777777" w:rsidR="00CB1BA9" w:rsidRPr="00CB1BA9" w:rsidRDefault="00CB1BA9">
      <w:pPr>
        <w:rPr>
          <w:b/>
        </w:rPr>
      </w:pPr>
      <w:r w:rsidRPr="00CB1BA9">
        <w:rPr>
          <w:b/>
        </w:rPr>
        <w:t xml:space="preserve"> 7. Other Relevant Insights</w:t>
      </w:r>
    </w:p>
    <w:p w14:paraId="67DE0CC5" w14:textId="77777777" w:rsidR="00CB1BA9" w:rsidRDefault="00CB1BA9">
      <w:r>
        <w:t xml:space="preserve">There is a profound wordplay in Greek between Ephesians 2:9 and 2:10 that is easily lost in English translation. In verse 9, Paul rejects human "works" (erga). In verse 10, he declares that we are God’s "workmanship" (poiema). </w:t>
      </w:r>
    </w:p>
    <w:p w14:paraId="34DF6A2B" w14:textId="77777777" w:rsidR="00CB1BA9" w:rsidRDefault="00CB1BA9"/>
    <w:p w14:paraId="126012BD" w14:textId="77777777" w:rsidR="00CB1BA9" w:rsidRDefault="00CB1BA9">
      <w:r>
        <w:t>The word poiema (from which we get the English word "poem") refers to a crafted masterpiece or a work of art. The ultimate "work" in the Christian life is not what we do for God, but what God has done in us. We are His masterpiece, designed specifically to carry out the "good works" (erga agatha) that He pre-arranged for us to walk in. Our works are simply the outward expression of His internal workmanship.</w:t>
      </w:r>
    </w:p>
    <w:p w14:paraId="57678DF7" w14:textId="77777777" w:rsidR="00CB1BA9" w:rsidRDefault="00CB1BA9"/>
    <w:p w14:paraId="2AFE7EFF" w14:textId="77777777" w:rsidR="00CB1BA9" w:rsidRPr="00CB1BA9" w:rsidRDefault="00CB1BA9">
      <w:pPr>
        <w:rPr>
          <w:b/>
        </w:rPr>
      </w:pPr>
      <w:r w:rsidRPr="00CB1BA9">
        <w:rPr>
          <w:b/>
        </w:rPr>
        <w:t xml:space="preserve"> 8. References</w:t>
      </w:r>
    </w:p>
    <w:p w14:paraId="33B2A83B" w14:textId="77777777" w:rsidR="00CB1BA9" w:rsidRDefault="00CB1BA9">
      <w:r>
        <w:t>• BDAG, 341-343</w:t>
      </w:r>
    </w:p>
    <w:p w14:paraId="4CD698D5" w14:textId="77777777" w:rsidR="00CB1BA9" w:rsidRDefault="00CB1BA9">
      <w:r>
        <w:t>• TDNT, 2:635-655</w:t>
      </w:r>
    </w:p>
    <w:p w14:paraId="4C5D0738" w14:textId="77777777" w:rsidR="00CB1BA9" w:rsidRDefault="00CB1BA9">
      <w:r>
        <w:t>• NIDNTTE, 2:243-252</w:t>
      </w:r>
    </w:p>
    <w:p w14:paraId="60E02BCC" w14:textId="27EAD1BA" w:rsidR="004C5552" w:rsidRDefault="00CB1BA9">
      <w:r>
        <w:t>• Vine's Expository Dictionary of New Testament Words, 1239-1240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B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1BA9"/>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3F1B"/>
  <w15:chartTrackingRefBased/>
  <w15:docId w15:val="{A42B7DF2-E24E-4303-8271-02E5E378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1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1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BA9"/>
    <w:rPr>
      <w:rFonts w:eastAsiaTheme="majorEastAsia" w:cstheme="majorBidi"/>
      <w:color w:val="272727" w:themeColor="text1" w:themeTint="D8"/>
    </w:rPr>
  </w:style>
  <w:style w:type="paragraph" w:styleId="Title">
    <w:name w:val="Title"/>
    <w:basedOn w:val="Normal"/>
    <w:next w:val="Normal"/>
    <w:link w:val="TitleChar"/>
    <w:uiPriority w:val="10"/>
    <w:qFormat/>
    <w:rsid w:val="00CB1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BA9"/>
    <w:pPr>
      <w:spacing w:before="160"/>
      <w:jc w:val="center"/>
    </w:pPr>
    <w:rPr>
      <w:i/>
      <w:iCs/>
      <w:color w:val="404040" w:themeColor="text1" w:themeTint="BF"/>
    </w:rPr>
  </w:style>
  <w:style w:type="character" w:customStyle="1" w:styleId="QuoteChar">
    <w:name w:val="Quote Char"/>
    <w:basedOn w:val="DefaultParagraphFont"/>
    <w:link w:val="Quote"/>
    <w:uiPriority w:val="29"/>
    <w:rsid w:val="00CB1BA9"/>
    <w:rPr>
      <w:i/>
      <w:iCs/>
      <w:color w:val="404040" w:themeColor="text1" w:themeTint="BF"/>
    </w:rPr>
  </w:style>
  <w:style w:type="paragraph" w:styleId="ListParagraph">
    <w:name w:val="List Paragraph"/>
    <w:basedOn w:val="Normal"/>
    <w:uiPriority w:val="34"/>
    <w:qFormat/>
    <w:rsid w:val="00CB1BA9"/>
    <w:pPr>
      <w:ind w:left="720"/>
      <w:contextualSpacing/>
    </w:pPr>
  </w:style>
  <w:style w:type="character" w:styleId="IntenseEmphasis">
    <w:name w:val="Intense Emphasis"/>
    <w:basedOn w:val="DefaultParagraphFont"/>
    <w:uiPriority w:val="21"/>
    <w:qFormat/>
    <w:rsid w:val="00CB1BA9"/>
    <w:rPr>
      <w:i/>
      <w:iCs/>
      <w:color w:val="2E74B5" w:themeColor="accent1" w:themeShade="BF"/>
    </w:rPr>
  </w:style>
  <w:style w:type="paragraph" w:styleId="IntenseQuote">
    <w:name w:val="Intense Quote"/>
    <w:basedOn w:val="Normal"/>
    <w:next w:val="Normal"/>
    <w:link w:val="IntenseQuoteChar"/>
    <w:uiPriority w:val="30"/>
    <w:qFormat/>
    <w:rsid w:val="00CB1B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1BA9"/>
    <w:rPr>
      <w:i/>
      <w:iCs/>
      <w:color w:val="2E74B5" w:themeColor="accent1" w:themeShade="BF"/>
    </w:rPr>
  </w:style>
  <w:style w:type="character" w:styleId="IntenseReference">
    <w:name w:val="Intense Reference"/>
    <w:basedOn w:val="DefaultParagraphFont"/>
    <w:uiPriority w:val="32"/>
    <w:qFormat/>
    <w:rsid w:val="00CB1B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1001</Words>
  <Characters>5206</Characters>
  <Application>Microsoft Office Word</Application>
  <DocSecurity>0</DocSecurity>
  <Lines>100</Lines>
  <Paragraphs>54</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