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86A44" w14:textId="77777777" w:rsidR="00880909" w:rsidRPr="00880909" w:rsidRDefault="00880909">
      <w:pPr>
        <w:rPr>
          <w:b/>
        </w:rPr>
      </w:pPr>
      <w:r w:rsidRPr="00880909">
        <w:rPr>
          <w:b/>
        </w:rPr>
        <w:t>BOND - ( syndesmos , Strong's G4886 )</w:t>
      </w:r>
    </w:p>
    <w:p w14:paraId="7D801B75" w14:textId="77777777" w:rsidR="00880909" w:rsidRDefault="00880909">
      <w:r w:rsidRPr="00880909">
        <w:rPr>
          <w:b/>
        </w:rPr>
        <w:t>Summary:</w:t>
      </w:r>
    </w:p>
    <w:p w14:paraId="531231EA" w14:textId="77777777" w:rsidR="00880909" w:rsidRDefault="00880909">
      <w:r>
        <w:t>The Greek word syndesmos refers to that which binds things together—such as a physical fastening, a bundle, or an anatomical ligament. In Ephesians 4:3, Paul uses this vivid term to describe the "bond of peace" that secures the unity of the Spirit. This word picture conveys that Christian unity is not a fragile, temporary truce, but a robust, structural binding force. Like ligaments holding a human body together, the peace of Christ acts as the essential connection that secures, stabilizes, and unifies the church.</w:t>
      </w:r>
    </w:p>
    <w:p w14:paraId="52110B9C" w14:textId="77777777" w:rsidR="00880909" w:rsidRDefault="00880909"/>
    <w:p w14:paraId="145D061F" w14:textId="77777777" w:rsidR="00880909" w:rsidRDefault="00880909">
      <w:r w:rsidRPr="00880909">
        <w:rPr>
          <w:b/>
        </w:rPr>
        <w:t>Full Study:</w:t>
      </w:r>
    </w:p>
    <w:p w14:paraId="2BA1286F" w14:textId="77777777" w:rsidR="00880909" w:rsidRDefault="00880909"/>
    <w:p w14:paraId="649006FC" w14:textId="77777777" w:rsidR="00880909" w:rsidRPr="00880909" w:rsidRDefault="00880909">
      <w:pPr>
        <w:rPr>
          <w:b/>
        </w:rPr>
      </w:pPr>
      <w:r w:rsidRPr="00880909">
        <w:rPr>
          <w:b/>
        </w:rPr>
        <w:t xml:space="preserve"> 1. Word Picture / Background</w:t>
      </w:r>
    </w:p>
    <w:p w14:paraId="1816CFC9" w14:textId="77777777" w:rsidR="00880909" w:rsidRDefault="00880909">
      <w:r>
        <w:t>The word syndesmos is a compound noun derived from syn ("together, with") and deo ("to bind, tie, or chain"). In classical Greek and ancient medical literature, such as the writings of Hippocrates and Galen, syndesmos was the technical term for the ligaments, sinews, and tendons that hold the joints and bones of the human body in place. It was also used in general literature to describe structural clamps or metal bands that held architectural stones together, as well as simple cords used to tie a bundle of sticks. The underlying word picture is one of structural integrity, tension, and organic connection. It represents the vital link that prevents a complex structure or body from falling apart under stress.</w:t>
      </w:r>
    </w:p>
    <w:p w14:paraId="0AB77B38" w14:textId="77777777" w:rsidR="00880909" w:rsidRDefault="00880909"/>
    <w:p w14:paraId="3ABED9B3" w14:textId="77777777" w:rsidR="00880909" w:rsidRPr="00880909" w:rsidRDefault="00880909">
      <w:pPr>
        <w:rPr>
          <w:b/>
        </w:rPr>
      </w:pPr>
      <w:r w:rsidRPr="00880909">
        <w:rPr>
          <w:b/>
        </w:rPr>
        <w:t xml:space="preserve"> 2. Meaning / Lexical Definition</w:t>
      </w:r>
    </w:p>
    <w:p w14:paraId="24716587" w14:textId="77777777" w:rsidR="00880909" w:rsidRDefault="00880909">
      <w:r>
        <w:t xml:space="preserve">The noun syndesmos designates that which binds, holds, or fastens things together. In literal contexts, it refers to a physical band, a bundle, or an anatomical ligament that connects bones and muscles. Figuratively, it describes a close, unifying relationship, a moral constraint, or a collective force that secures spiritual cohesion. It is not merely an external wrapping but an internal, structural connection that produces oneness out of diverse parts. </w:t>
      </w:r>
    </w:p>
    <w:p w14:paraId="0C855AA4" w14:textId="77777777" w:rsidR="00880909" w:rsidRDefault="00880909"/>
    <w:p w14:paraId="71010075" w14:textId="77777777" w:rsidR="00880909" w:rsidRPr="00880909" w:rsidRDefault="00880909">
      <w:pPr>
        <w:rPr>
          <w:b/>
        </w:rPr>
      </w:pPr>
      <w:r w:rsidRPr="00880909">
        <w:rPr>
          <w:b/>
        </w:rPr>
        <w:t xml:space="preserve"> 3. Usage and Word Pictures</w:t>
      </w:r>
    </w:p>
    <w:p w14:paraId="742CDA04" w14:textId="77777777" w:rsidR="00880909" w:rsidRDefault="00880909">
      <w:r>
        <w:t>The word occurs four times in the New Testament, illustrating both physical and figurative binding forces:</w:t>
      </w:r>
    </w:p>
    <w:p w14:paraId="391E7003" w14:textId="77777777" w:rsidR="00880909" w:rsidRDefault="00880909">
      <w:r>
        <w:t>• Anatomical Ligament: In Colossians 2:19, Paul uses the plural form of the word alongside "joints" to describe how the physical body is "nourished and knit together." This highlights the organic, life-sustaining connection that believers have with Christ, the Head, and with one another.</w:t>
      </w:r>
    </w:p>
    <w:p w14:paraId="0E6CB48D" w14:textId="77777777" w:rsidR="00880909" w:rsidRDefault="00880909">
      <w:r>
        <w:t>• Moral and Spiritual Binding: In Colossians 3:14, love is called the "bond of perfection" (or the perfect bond), depicting love as the overarching belt or clasp that holds all other Christian virtues together in perfect harmony.</w:t>
      </w:r>
    </w:p>
    <w:p w14:paraId="3F32F182" w14:textId="77777777" w:rsidR="00880909" w:rsidRDefault="00880909">
      <w:r>
        <w:t>• Sinful Captivity: Conversely, in Acts 8:23, Peter warns Simon the Sorcerer that he is "bound by iniquity" (literally, in the "bond of unrighteousness"), using the word to describe the constricting, enslaving power of sin.</w:t>
      </w:r>
    </w:p>
    <w:p w14:paraId="4C279A0C" w14:textId="77777777" w:rsidR="00880909" w:rsidRDefault="00880909"/>
    <w:p w14:paraId="08C39A7D" w14:textId="77777777" w:rsidR="00880909" w:rsidRPr="00880909" w:rsidRDefault="00880909">
      <w:pPr>
        <w:rPr>
          <w:b/>
        </w:rPr>
      </w:pPr>
      <w:r w:rsidRPr="00880909">
        <w:rPr>
          <w:b/>
        </w:rPr>
        <w:t xml:space="preserve"> 4. Theological Implications</w:t>
      </w:r>
    </w:p>
    <w:p w14:paraId="56AE7C1B" w14:textId="77777777" w:rsidR="00880909" w:rsidRDefault="00880909">
      <w:r>
        <w:t xml:space="preserve">In Ephesians 4:3, the theological weight of syndesmos rests on the fact that Christian unity is a divine reality, not a human achievement. The Holy Spirit has already established a supernatural unity among believers through the work of the cross. Believers are not commanded to create this unity, but rather to "keep" (guard and preserve) it. The instrument used to guard this unity is "the bond of peace." </w:t>
      </w:r>
    </w:p>
    <w:p w14:paraId="59F43AE5" w14:textId="77777777" w:rsidR="00880909" w:rsidRDefault="00880909"/>
    <w:p w14:paraId="6F6F830F" w14:textId="77777777" w:rsidR="00880909" w:rsidRDefault="00880909">
      <w:r>
        <w:t>Theologically, this peace (eirene) is the vertical reconciliation with God and the horizontal reconciliation between diverse peoples (such as Jews and Gentiles) accomplished by Christ (Ephesians 2:14–16). Peace is the spiritual ligament. When believers live in active, reconciling peace with one another, the supernatural unity of the Spirit is visibly preserved and maintained before a watching world.</w:t>
      </w:r>
    </w:p>
    <w:p w14:paraId="4120C412" w14:textId="77777777" w:rsidR="00880909" w:rsidRDefault="00880909"/>
    <w:p w14:paraId="31D408B3" w14:textId="77777777" w:rsidR="00880909" w:rsidRPr="00880909" w:rsidRDefault="00880909">
      <w:pPr>
        <w:rPr>
          <w:b/>
        </w:rPr>
      </w:pPr>
      <w:r w:rsidRPr="00880909">
        <w:rPr>
          <w:b/>
        </w:rPr>
        <w:t xml:space="preserve"> 5. Contextual Nuance in the Passage</w:t>
      </w:r>
    </w:p>
    <w:p w14:paraId="3CB9E57D" w14:textId="77777777" w:rsidR="00880909" w:rsidRDefault="00880909">
      <w:r>
        <w:t xml:space="preserve">In the immediate context of Ephesians 4:1–3, Paul is transitionining from the grand doctrinal truths of chapters 1–3 to the practical application of Christian living. He exhorts believers to "walk worthy of the calling" by exhibiting humility, gentleness, patience, and mutual forbearance. </w:t>
      </w:r>
    </w:p>
    <w:p w14:paraId="6C7419C4" w14:textId="77777777" w:rsidR="00880909" w:rsidRDefault="00880909"/>
    <w:p w14:paraId="03682835" w14:textId="77777777" w:rsidR="00880909" w:rsidRDefault="00880909">
      <w:r>
        <w:t>The command to "keep the unity of the Spirit" requires diligent, urgent effort (expressed by the Greek participle spoudazontes, "endeavoring" or "making every effort"). Paul recognizes that maintaining unity among diverse people is difficult work that requires constant vigilance. The "bond of peace" is the practical means of this preservation. Just as a physical body cannot function if its ligaments are torn, a local church cannot walk worthily if the "ligament of peace" is ruptured by division, pride, or conflict. Peace holds the members together so that the body can grow and function as God intended.</w:t>
      </w:r>
    </w:p>
    <w:p w14:paraId="6CFF2BB7" w14:textId="77777777" w:rsidR="00880909" w:rsidRDefault="00880909"/>
    <w:p w14:paraId="01B74FC6" w14:textId="77777777" w:rsidR="00880909" w:rsidRPr="00880909" w:rsidRDefault="00880909">
      <w:pPr>
        <w:rPr>
          <w:b/>
        </w:rPr>
      </w:pPr>
      <w:r w:rsidRPr="00880909">
        <w:rPr>
          <w:b/>
        </w:rPr>
        <w:t xml:space="preserve"> 6. Key Uses in Other Verses (NKJV)</w:t>
      </w:r>
    </w:p>
    <w:p w14:paraId="7643D756" w14:textId="77777777" w:rsidR="00880909" w:rsidRDefault="00880909">
      <w:r>
        <w:t>• Acts 8:23: "For I see that you are poisoned by bitterness and bound by iniquity."</w:t>
      </w:r>
    </w:p>
    <w:p w14:paraId="2202F219" w14:textId="77777777" w:rsidR="00880909" w:rsidRDefault="00880909">
      <w:r>
        <w:t>• Colossians 2:19: "...and not holding fast to the Head, from whom all the body, nourished and knit together by joints and ligaments, grows with the increase that is from God."</w:t>
      </w:r>
    </w:p>
    <w:p w14:paraId="1874C403" w14:textId="77777777" w:rsidR="00880909" w:rsidRDefault="00880909">
      <w:r>
        <w:t>• Colossians 3:14: "But above all these things put on love, which is the bond of perfection."</w:t>
      </w:r>
    </w:p>
    <w:p w14:paraId="09FD1B2D" w14:textId="77777777" w:rsidR="00880909" w:rsidRDefault="00880909"/>
    <w:p w14:paraId="2C587F96" w14:textId="77777777" w:rsidR="00880909" w:rsidRPr="00880909" w:rsidRDefault="00880909">
      <w:pPr>
        <w:rPr>
          <w:b/>
        </w:rPr>
      </w:pPr>
      <w:r w:rsidRPr="00880909">
        <w:rPr>
          <w:b/>
        </w:rPr>
        <w:t xml:space="preserve"> 7. Other Relevant Insights</w:t>
      </w:r>
    </w:p>
    <w:p w14:paraId="6DE21562" w14:textId="77777777" w:rsidR="00880909" w:rsidRDefault="00880909">
      <w:r>
        <w:t>In the Greco-Roman world, peace was often viewed as the "Pax Romana"—a peace maintained through external political subjugation, military force, and the fear of Roman law. Paul’s use of syndesmos presents a radically different paradigm for the church. Christian peace is not an external, forced compliance; it is an internal, organic, and spiritual ligament. It is forged by the Spirit and maintained through sacrificial, Christlike relationships. When a local church experiences relational strain, the "ligament" of peace is stretched. Healing and stability are restored not by legalistic pressure, but by the relational "flexibility" of humility, gentleness, and love.</w:t>
      </w:r>
    </w:p>
    <w:p w14:paraId="67E4E6DC" w14:textId="77777777" w:rsidR="00880909" w:rsidRDefault="00880909"/>
    <w:p w14:paraId="77EA6D7E" w14:textId="77777777" w:rsidR="00880909" w:rsidRPr="00880909" w:rsidRDefault="00880909">
      <w:pPr>
        <w:rPr>
          <w:b/>
        </w:rPr>
      </w:pPr>
      <w:r w:rsidRPr="00880909">
        <w:rPr>
          <w:b/>
        </w:rPr>
        <w:t xml:space="preserve"> 8. References</w:t>
      </w:r>
    </w:p>
    <w:p w14:paraId="0ED361A1" w14:textId="77777777" w:rsidR="00880909" w:rsidRDefault="00880909">
      <w:r>
        <w:t>• Balz, Horst, and Gerhard Schneider, eds. Exegetical Dictionary of the New Testament.</w:t>
      </w:r>
    </w:p>
    <w:p w14:paraId="0030C8A4" w14:textId="77777777" w:rsidR="00880909" w:rsidRDefault="00880909">
      <w:r>
        <w:t>• Bauer, Walter, Frederick W. Danker, William F. Arndt, and F. Wilbur Gingrich. A Greek-English Lexicon of the New Testament and Other Early Christian Literature.</w:t>
      </w:r>
    </w:p>
    <w:p w14:paraId="7A458F82" w14:textId="77777777" w:rsidR="00880909" w:rsidRDefault="00880909">
      <w:r>
        <w:t>• Kittel, Gerhard, and Gerhard Friedrich, eds. Theological Dictionary of the New Testament.</w:t>
      </w:r>
    </w:p>
    <w:p w14:paraId="54060796" w14:textId="77777777" w:rsidR="00880909" w:rsidRDefault="00880909">
      <w:r>
        <w:t>• Vine, W.E. Expository Dictionary of New Testament Words.</w:t>
      </w:r>
    </w:p>
    <w:p w14:paraId="418CEB3A" w14:textId="065DEE65" w:rsidR="004C5552" w:rsidRDefault="00880909">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090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F26D"/>
  <w15:chartTrackingRefBased/>
  <w15:docId w15:val="{E3AEB267-5941-47B0-85E6-1DEFD840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909"/>
    <w:rPr>
      <w:rFonts w:eastAsiaTheme="majorEastAsia" w:cstheme="majorBidi"/>
      <w:color w:val="272727" w:themeColor="text1" w:themeTint="D8"/>
    </w:rPr>
  </w:style>
  <w:style w:type="paragraph" w:styleId="Title">
    <w:name w:val="Title"/>
    <w:basedOn w:val="Normal"/>
    <w:next w:val="Normal"/>
    <w:link w:val="TitleChar"/>
    <w:uiPriority w:val="10"/>
    <w:qFormat/>
    <w:rsid w:val="0088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909"/>
    <w:pPr>
      <w:spacing w:before="160"/>
      <w:jc w:val="center"/>
    </w:pPr>
    <w:rPr>
      <w:i/>
      <w:iCs/>
      <w:color w:val="404040" w:themeColor="text1" w:themeTint="BF"/>
    </w:rPr>
  </w:style>
  <w:style w:type="character" w:customStyle="1" w:styleId="QuoteChar">
    <w:name w:val="Quote Char"/>
    <w:basedOn w:val="DefaultParagraphFont"/>
    <w:link w:val="Quote"/>
    <w:uiPriority w:val="29"/>
    <w:rsid w:val="00880909"/>
    <w:rPr>
      <w:i/>
      <w:iCs/>
      <w:color w:val="404040" w:themeColor="text1" w:themeTint="BF"/>
    </w:rPr>
  </w:style>
  <w:style w:type="paragraph" w:styleId="ListParagraph">
    <w:name w:val="List Paragraph"/>
    <w:basedOn w:val="Normal"/>
    <w:uiPriority w:val="34"/>
    <w:qFormat/>
    <w:rsid w:val="00880909"/>
    <w:pPr>
      <w:ind w:left="720"/>
      <w:contextualSpacing/>
    </w:pPr>
  </w:style>
  <w:style w:type="character" w:styleId="IntenseEmphasis">
    <w:name w:val="Intense Emphasis"/>
    <w:basedOn w:val="DefaultParagraphFont"/>
    <w:uiPriority w:val="21"/>
    <w:qFormat/>
    <w:rsid w:val="00880909"/>
    <w:rPr>
      <w:i/>
      <w:iCs/>
      <w:color w:val="2E74B5" w:themeColor="accent1" w:themeShade="BF"/>
    </w:rPr>
  </w:style>
  <w:style w:type="paragraph" w:styleId="IntenseQuote">
    <w:name w:val="Intense Quote"/>
    <w:basedOn w:val="Normal"/>
    <w:next w:val="Normal"/>
    <w:link w:val="IntenseQuoteChar"/>
    <w:uiPriority w:val="30"/>
    <w:qFormat/>
    <w:rsid w:val="008809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0909"/>
    <w:rPr>
      <w:i/>
      <w:iCs/>
      <w:color w:val="2E74B5" w:themeColor="accent1" w:themeShade="BF"/>
    </w:rPr>
  </w:style>
  <w:style w:type="character" w:styleId="IntenseReference">
    <w:name w:val="Intense Reference"/>
    <w:basedOn w:val="DefaultParagraphFont"/>
    <w:uiPriority w:val="32"/>
    <w:qFormat/>
    <w:rsid w:val="008809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5085</Characters>
  <Application>Microsoft Office Word</Application>
  <DocSecurity>0</DocSecurity>
  <Lines>97</Lines>
  <Paragraphs>53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