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CDF4" w14:textId="77777777" w:rsidR="00B966CC" w:rsidRPr="00B966CC" w:rsidRDefault="00B966CC">
      <w:pPr>
        <w:rPr>
          <w:b/>
        </w:rPr>
      </w:pPr>
      <w:r w:rsidRPr="00B966CC">
        <w:rPr>
          <w:b/>
        </w:rPr>
        <w:t>GOSPEL - ( euaggelion , Strong's G2098 )</w:t>
      </w:r>
    </w:p>
    <w:p w14:paraId="057852E4" w14:textId="77777777" w:rsidR="00B966CC" w:rsidRDefault="00B966CC">
      <w:r w:rsidRPr="00B966CC">
        <w:rPr>
          <w:b/>
        </w:rPr>
        <w:t>Summary:</w:t>
      </w:r>
    </w:p>
    <w:p w14:paraId="7BCC553B" w14:textId="77777777" w:rsidR="00B966CC" w:rsidRDefault="00B966CC">
      <w:r>
        <w:t>The Greek noun euaggelion literally translates to "good news" or "glad tidings." In classical antiquity and the Roman imperial cult, it designated a proclamation of victory in battle, a royal birth, or the accession of a new emperor. The New Testament writers appropriated and elevated this term to announce the historical, saving work of God through the life, death, resurrection, and ascension of Jesus Christ. In Galatians 2:7, Paul uses the word to demonstrate that while there is only one true gospel, it was dynamically entrusted to different apostles for distinct target audiences—the Gentiles through Paul and the Jews through Peter.</w:t>
      </w:r>
    </w:p>
    <w:p w14:paraId="27ACE84B" w14:textId="77777777" w:rsidR="00B966CC" w:rsidRDefault="00B966CC"/>
    <w:p w14:paraId="69C39D80" w14:textId="77777777" w:rsidR="00B966CC" w:rsidRDefault="00B966CC">
      <w:r w:rsidRPr="00B966CC">
        <w:rPr>
          <w:b/>
        </w:rPr>
        <w:t>Full Study:</w:t>
      </w:r>
    </w:p>
    <w:p w14:paraId="54D869D0" w14:textId="77777777" w:rsidR="00B966CC" w:rsidRDefault="00B966CC"/>
    <w:p w14:paraId="3DDFDC3C" w14:textId="77777777" w:rsidR="00B966CC" w:rsidRPr="00B966CC" w:rsidRDefault="00B966CC">
      <w:pPr>
        <w:rPr>
          <w:b/>
        </w:rPr>
      </w:pPr>
      <w:r w:rsidRPr="00B966CC">
        <w:rPr>
          <w:b/>
        </w:rPr>
        <w:t>1. Word Picture / Background</w:t>
      </w:r>
    </w:p>
    <w:p w14:paraId="4492F458" w14:textId="77777777" w:rsidR="00B966CC" w:rsidRDefault="00B966CC">
      <w:r>
        <w:t>• Euaggelion is a compound noun derived from eu ("well" or "good") and aggelos ("messenger" or "herald"). Historically, the term originally referred to the reward given to a messenger for bringing good news, and later came to represent the message of good news itself.</w:t>
      </w:r>
    </w:p>
    <w:p w14:paraId="3D56EA7D" w14:textId="77777777" w:rsidR="00B966CC" w:rsidRDefault="00B966CC">
      <w:r>
        <w:t>• In the Greco-Roman world, the word carried strong political and military connotations. When a Roman general won a decisive battle or a new emperor ascended the throne, heralds traveled throughout the empire proclaiming these events as euaggelia—announcements of peace, security, and a new era of prosperity.</w:t>
      </w:r>
    </w:p>
    <w:p w14:paraId="6A48C19E" w14:textId="77777777" w:rsidR="00B966CC" w:rsidRDefault="00B966CC">
      <w:r>
        <w:t>• In the Septuagint (the Greek Old Testament), the related verb euaggelizomai appears in prophetic contexts, most notably in Isaiah 40:9 and 52:7, to describe the joyful announcement of God's sovereign reign and the deliverance of His covenant people from exile. Paul and other New Testament authors drew upon both the Greco-Roman imperial heraldic concept and the Old Testament prophetic hope to frame the Christian message as the ultimate announcement of divine victory over sin, death, and demonic powers.</w:t>
      </w:r>
    </w:p>
    <w:p w14:paraId="0F3D6497" w14:textId="77777777" w:rsidR="00B966CC" w:rsidRDefault="00B966CC"/>
    <w:p w14:paraId="1BB95331" w14:textId="77777777" w:rsidR="00B966CC" w:rsidRPr="00B966CC" w:rsidRDefault="00B966CC">
      <w:pPr>
        <w:rPr>
          <w:b/>
        </w:rPr>
      </w:pPr>
      <w:r w:rsidRPr="00B966CC">
        <w:rPr>
          <w:b/>
        </w:rPr>
        <w:t>2. Meaning / Lexical Definition</w:t>
      </w:r>
    </w:p>
    <w:p w14:paraId="6FEA1288" w14:textId="77777777" w:rsidR="00B966CC" w:rsidRDefault="00B966CC">
      <w:r>
        <w:t>• Euaggelion designates the "good news" or "glad tidings" of salvation offered freely through Jesus Christ.</w:t>
      </w:r>
    </w:p>
    <w:p w14:paraId="76364844" w14:textId="77777777" w:rsidR="00B966CC" w:rsidRDefault="00B966CC">
      <w:r>
        <w:t>• In the New Testament, it represents the central message of Christian proclamation. This message is not a set of moral instructions or a new philosophical system, but a declaration of historical facts: that Jesus of Nazareth is the promised Messiah, that He died for our sins, was buried, and rose again on the third day in accordance with the Scriptures.</w:t>
      </w:r>
    </w:p>
    <w:p w14:paraId="7D71A5D2" w14:textId="77777777" w:rsidR="00B966CC" w:rsidRDefault="00B966CC">
      <w:r>
        <w:t>• The noun denotes a message of objective truth that demands a response of faith and obedience from its hearers. It is the power of God for salvation to everyone who believes.</w:t>
      </w:r>
    </w:p>
    <w:p w14:paraId="13C3FCDE" w14:textId="77777777" w:rsidR="00B966CC" w:rsidRDefault="00B966CC"/>
    <w:p w14:paraId="06E93828" w14:textId="77777777" w:rsidR="00B966CC" w:rsidRPr="00B966CC" w:rsidRDefault="00B966CC">
      <w:pPr>
        <w:rPr>
          <w:b/>
        </w:rPr>
      </w:pPr>
      <w:r w:rsidRPr="00B966CC">
        <w:rPr>
          <w:b/>
        </w:rPr>
        <w:t>3. Usage and Word Pictures</w:t>
      </w:r>
    </w:p>
    <w:p w14:paraId="2899EC97" w14:textId="77777777" w:rsidR="00B966CC" w:rsidRDefault="00B966CC">
      <w:r>
        <w:t>• The primary word picture of euaggelion is that of a royal herald (keryx) entering a city. The herald does not negotiate or debate; he loudly and authoritatively broadcasts an accomplished fact—a victory won by the king—which changes the status and safety of everyone in the city.</w:t>
      </w:r>
    </w:p>
    <w:p w14:paraId="3F854944" w14:textId="77777777" w:rsidR="00B966CC" w:rsidRDefault="00B966CC">
      <w:r>
        <w:t>• The gospel is also described as a sacred trust or deposit. Paul frequently speaks of being "entrusted with the gospel" (1 Thessalonians 2:4; Galatians 2:7). This paints the picture of a steward who is responsible for guarding and delivering a precious treasure intact, without watering it down, adding to it, or changing its character.</w:t>
      </w:r>
    </w:p>
    <w:p w14:paraId="19AA6EA4" w14:textId="77777777" w:rsidR="00B966CC" w:rsidRDefault="00B966CC"/>
    <w:p w14:paraId="0B219FA9" w14:textId="77777777" w:rsidR="00B966CC" w:rsidRPr="00B966CC" w:rsidRDefault="00B966CC">
      <w:pPr>
        <w:rPr>
          <w:b/>
        </w:rPr>
      </w:pPr>
      <w:r w:rsidRPr="00B966CC">
        <w:rPr>
          <w:b/>
        </w:rPr>
        <w:t>4. Theological Implications</w:t>
      </w:r>
    </w:p>
    <w:p w14:paraId="4FDC632E" w14:textId="77777777" w:rsidR="00B966CC" w:rsidRDefault="00B966CC">
      <w:r>
        <w:t>• The gospel is historically grounded. Its power lies not in its beauty as a myth or a moral theory, but in the reality of the empty tomb. If the historical events of Christ's death and resurrection did not occur, the proclamation is empty and faith is futile.</w:t>
      </w:r>
    </w:p>
    <w:p w14:paraId="0F495CA2" w14:textId="77777777" w:rsidR="00B966CC" w:rsidRDefault="00B966CC">
      <w:r>
        <w:t>• The gospel is exclusive and singular. Because it is rooted in the unique person and finished work of Christ, there can be no alternative versions. To alter the gospel is to destroy it, which is why Paul pronounces an anathema on any who preach "another gospel" (Galatians 1:6–9).</w:t>
      </w:r>
    </w:p>
    <w:p w14:paraId="2E27A304" w14:textId="77777777" w:rsidR="00B966CC" w:rsidRDefault="00B966CC">
      <w:r>
        <w:t>• The gospel is the supreme manifestation of God's grace. It excludes all human merit or legalistic striving as a means of justification, offering righteousness as a free gift received through faith alone.</w:t>
      </w:r>
    </w:p>
    <w:p w14:paraId="08A5D1E6" w14:textId="77777777" w:rsidR="00B966CC" w:rsidRDefault="00B966CC"/>
    <w:p w14:paraId="2241435D" w14:textId="77777777" w:rsidR="00B966CC" w:rsidRPr="00B966CC" w:rsidRDefault="00B966CC">
      <w:pPr>
        <w:rPr>
          <w:b/>
        </w:rPr>
      </w:pPr>
      <w:r w:rsidRPr="00B966CC">
        <w:rPr>
          <w:b/>
        </w:rPr>
        <w:t>5. Contextual Nuance in the Passage</w:t>
      </w:r>
    </w:p>
    <w:p w14:paraId="52A9322F" w14:textId="77777777" w:rsidR="00B966CC" w:rsidRDefault="00B966CC">
      <w:r>
        <w:t>• In Galatians 2:7, Paul refers to "the gospel for the uncircumcised" (euaggelion tes akrobystias) and "the gospel for the circumcised" (euaggelion tes peritomes).</w:t>
      </w:r>
    </w:p>
    <w:p w14:paraId="7A3429D8" w14:textId="77777777" w:rsidR="00B966CC" w:rsidRDefault="00B966CC">
      <w:r>
        <w:t>• This distinction does not indicate two different messages or theological systems. The context of the Galatian letter fiercely defends the absolute singularity of the gospel. Rather, the genitives are objectives of target audience.</w:t>
      </w:r>
    </w:p>
    <w:p w14:paraId="441F4006" w14:textId="77777777" w:rsidR="00B966CC" w:rsidRDefault="00B966CC">
      <w:r>
        <w:t>• Paul is describing a division of labor and mission, not a division of truth. The identical gospel of grace was entrusted to Paul for the Gentile world (the uncircumcised) and to Peter for the Jewish world (the circumcised).</w:t>
      </w:r>
    </w:p>
    <w:p w14:paraId="10F25F2B" w14:textId="77777777" w:rsidR="00B966CC" w:rsidRDefault="00B966CC">
      <w:r>
        <w:t>• By using euaggelion in this way, Paul demonstrates that the pillars of the Jerusalem church (James, Peter, and John) recognized the validity and unity of his message. The same divine authority that empowered Peter's ministry to the Jews also empowered Paul's ministry to the Gentiles, showing that the gospel is universal in scope but flexible in its cultural outreach.</w:t>
      </w:r>
    </w:p>
    <w:p w14:paraId="66BC26B8" w14:textId="77777777" w:rsidR="00B966CC" w:rsidRDefault="00B966CC"/>
    <w:p w14:paraId="680A3630" w14:textId="77777777" w:rsidR="00B966CC" w:rsidRPr="00B966CC" w:rsidRDefault="00B966CC">
      <w:pPr>
        <w:rPr>
          <w:b/>
        </w:rPr>
      </w:pPr>
      <w:r w:rsidRPr="00B966CC">
        <w:rPr>
          <w:b/>
        </w:rPr>
        <w:t>6. Key Uses in Other Verses (NKJV)</w:t>
      </w:r>
    </w:p>
    <w:p w14:paraId="5344B228" w14:textId="77777777" w:rsidR="00B966CC" w:rsidRDefault="00B966CC">
      <w:r>
        <w:t>• Romans 1:16: "For I am not ashamed of the gospel of Christ, for it is the power of God for salvation to everyone who believes, for the Jew first and also for the Greek."</w:t>
      </w:r>
    </w:p>
    <w:p w14:paraId="223255A3" w14:textId="77777777" w:rsidR="00B966CC" w:rsidRDefault="00B966CC">
      <w:r>
        <w:t>• 1 Corinthians 15:1: "Moreover, brethren, I declare to you the gospel which I preached to you, which also you received and in which you stand..."</w:t>
      </w:r>
    </w:p>
    <w:p w14:paraId="471E78E2" w14:textId="77777777" w:rsidR="00B966CC" w:rsidRDefault="00B966CC">
      <w:r>
        <w:t>• Ephesians 1:13: "In Him you also trusted, after you heard the word of truth, the gospel of your salvation; in whom also, having believed, you were sealed with the Holy Spirit of promise..."</w:t>
      </w:r>
    </w:p>
    <w:p w14:paraId="67D6385F" w14:textId="77777777" w:rsidR="00B966CC" w:rsidRDefault="00B966CC">
      <w:r>
        <w:t>• Philippians 1:27: "Only let your conduct be worthy of the gospel of Christ, so that whether I come and see you or am absent, I may hear of your affairs, that you stand fast in one spirit, with one mind striving together for the faith of the gospel..."</w:t>
      </w:r>
    </w:p>
    <w:p w14:paraId="7096DAAA" w14:textId="77777777" w:rsidR="00B966CC" w:rsidRDefault="00B966CC"/>
    <w:p w14:paraId="19203291" w14:textId="77777777" w:rsidR="00B966CC" w:rsidRPr="00B966CC" w:rsidRDefault="00B966CC">
      <w:pPr>
        <w:rPr>
          <w:b/>
        </w:rPr>
      </w:pPr>
      <w:r w:rsidRPr="00B966CC">
        <w:rPr>
          <w:b/>
        </w:rPr>
        <w:t>7. Other Relevant Insights</w:t>
      </w:r>
    </w:p>
    <w:p w14:paraId="089FC107" w14:textId="77777777" w:rsidR="00B966CC" w:rsidRDefault="00B966CC">
      <w:r>
        <w:t>• Proclaiming Jesus as the bringer and subject of the euaggelion was a politically radical statement in the first-century Roman Empire. The Priene Calendar Inscription (9 BC), celebrating the birthday of Caesar Augustus, declared: "the birthday of the god Augustus was the beginning of the good tidings (euaggelia) for the world because of him." For the early Christians to declare that Jesus was Lord and that His work was the true euaggelion was a direct, peaceful, yet revolutionary challenge to the imperial claims of Rome.</w:t>
      </w:r>
    </w:p>
    <w:p w14:paraId="30D68AB6" w14:textId="77777777" w:rsidR="00B966CC" w:rsidRDefault="00B966CC"/>
    <w:p w14:paraId="1F06AD70" w14:textId="77777777" w:rsidR="00B966CC" w:rsidRPr="00B966CC" w:rsidRDefault="00B966CC">
      <w:pPr>
        <w:rPr>
          <w:b/>
        </w:rPr>
      </w:pPr>
      <w:r w:rsidRPr="00B966CC">
        <w:rPr>
          <w:b/>
        </w:rPr>
        <w:t>8. References</w:t>
      </w:r>
    </w:p>
    <w:p w14:paraId="34A62138" w14:textId="77777777" w:rsidR="00B966CC" w:rsidRDefault="00B966CC">
      <w:r>
        <w:t>• BDAG, G2098</w:t>
      </w:r>
    </w:p>
    <w:p w14:paraId="359B4270" w14:textId="77777777" w:rsidR="00B966CC" w:rsidRDefault="00B966CC">
      <w:r>
        <w:t>• TDNT, 2:707–721</w:t>
      </w:r>
    </w:p>
    <w:p w14:paraId="17561BA4" w14:textId="77777777" w:rsidR="00B966CC" w:rsidRDefault="00B966CC">
      <w:r>
        <w:t>• NIDNTTE, 2:215–224</w:t>
      </w:r>
    </w:p>
    <w:p w14:paraId="097D0AF6" w14:textId="77777777" w:rsidR="00B966CC" w:rsidRDefault="00B966CC">
      <w:r>
        <w:t>• Vine's Expository Dictionary</w:t>
      </w:r>
    </w:p>
    <w:p w14:paraId="100C466E" w14:textId="77777777" w:rsidR="00B966CC" w:rsidRDefault="00B966CC">
      <w:r>
        <w:t>• Thayer's Greek Lexicon</w:t>
      </w:r>
    </w:p>
    <w:p w14:paraId="6128A526" w14:textId="41F6A4DB" w:rsidR="004C5552" w:rsidRDefault="00B966CC">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6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966C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AD67"/>
  <w15:chartTrackingRefBased/>
  <w15:docId w15:val="{E80B100A-DF4F-4F0A-84EA-2CF64946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6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6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6CC"/>
    <w:rPr>
      <w:rFonts w:eastAsiaTheme="majorEastAsia" w:cstheme="majorBidi"/>
      <w:color w:val="272727" w:themeColor="text1" w:themeTint="D8"/>
    </w:rPr>
  </w:style>
  <w:style w:type="paragraph" w:styleId="Title">
    <w:name w:val="Title"/>
    <w:basedOn w:val="Normal"/>
    <w:next w:val="Normal"/>
    <w:link w:val="TitleChar"/>
    <w:uiPriority w:val="10"/>
    <w:qFormat/>
    <w:rsid w:val="00B96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6CC"/>
    <w:pPr>
      <w:spacing w:before="160"/>
      <w:jc w:val="center"/>
    </w:pPr>
    <w:rPr>
      <w:i/>
      <w:iCs/>
      <w:color w:val="404040" w:themeColor="text1" w:themeTint="BF"/>
    </w:rPr>
  </w:style>
  <w:style w:type="character" w:customStyle="1" w:styleId="QuoteChar">
    <w:name w:val="Quote Char"/>
    <w:basedOn w:val="DefaultParagraphFont"/>
    <w:link w:val="Quote"/>
    <w:uiPriority w:val="29"/>
    <w:rsid w:val="00B966CC"/>
    <w:rPr>
      <w:i/>
      <w:iCs/>
      <w:color w:val="404040" w:themeColor="text1" w:themeTint="BF"/>
    </w:rPr>
  </w:style>
  <w:style w:type="paragraph" w:styleId="ListParagraph">
    <w:name w:val="List Paragraph"/>
    <w:basedOn w:val="Normal"/>
    <w:uiPriority w:val="34"/>
    <w:qFormat/>
    <w:rsid w:val="00B966CC"/>
    <w:pPr>
      <w:ind w:left="720"/>
      <w:contextualSpacing/>
    </w:pPr>
  </w:style>
  <w:style w:type="character" w:styleId="IntenseEmphasis">
    <w:name w:val="Intense Emphasis"/>
    <w:basedOn w:val="DefaultParagraphFont"/>
    <w:uiPriority w:val="21"/>
    <w:qFormat/>
    <w:rsid w:val="00B966CC"/>
    <w:rPr>
      <w:i/>
      <w:iCs/>
      <w:color w:val="2E74B5" w:themeColor="accent1" w:themeShade="BF"/>
    </w:rPr>
  </w:style>
  <w:style w:type="paragraph" w:styleId="IntenseQuote">
    <w:name w:val="Intense Quote"/>
    <w:basedOn w:val="Normal"/>
    <w:next w:val="Normal"/>
    <w:link w:val="IntenseQuoteChar"/>
    <w:uiPriority w:val="30"/>
    <w:qFormat/>
    <w:rsid w:val="00B966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66CC"/>
    <w:rPr>
      <w:i/>
      <w:iCs/>
      <w:color w:val="2E74B5" w:themeColor="accent1" w:themeShade="BF"/>
    </w:rPr>
  </w:style>
  <w:style w:type="character" w:styleId="IntenseReference">
    <w:name w:val="Intense Reference"/>
    <w:basedOn w:val="DefaultParagraphFont"/>
    <w:uiPriority w:val="32"/>
    <w:qFormat/>
    <w:rsid w:val="00B966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1045</Words>
  <Characters>5440</Characters>
  <Application>Microsoft Office Word</Application>
  <DocSecurity>0</DocSecurity>
  <Lines>104</Lines>
  <Paragraphs>56</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