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A6E5D" w14:textId="77777777" w:rsidR="00557696" w:rsidRPr="00557696" w:rsidRDefault="00557696">
      <w:pPr>
        <w:rPr>
          <w:b/>
        </w:rPr>
      </w:pPr>
      <w:r w:rsidRPr="00557696">
        <w:rPr>
          <w:b/>
        </w:rPr>
        <w:t>COVENANT - ( diatheke , Strong's G1242 )</w:t>
      </w:r>
    </w:p>
    <w:p w14:paraId="2B18CC83" w14:textId="77777777" w:rsidR="00557696" w:rsidRDefault="00557696">
      <w:r w:rsidRPr="00557696">
        <w:rPr>
          <w:b/>
        </w:rPr>
        <w:t>Summary:</w:t>
      </w:r>
    </w:p>
    <w:p w14:paraId="716A988D" w14:textId="77777777" w:rsidR="00557696" w:rsidRDefault="00557696">
      <w:r>
        <w:t>The Greek word diatheke refers to a unilateral decree, disposition, or arrangement, as well as a bilateral agreement or covenant. In classical Greek, it almost exclusively designated a last will and testament, while the Septuagint used it to translate the Hebrew berit (covenant), emphasizing a sovereignly administered treaty. In Galatians 3:15, Paul utilizes the legal concept of a human covenant or will—which once legally ratified cannot be set aside or amended—as an illustration of the unalterable nature of God's covenant promise to Abraham, demonstrating that the later giving of the Law cannot invalidate God's prior grace-based promise.</w:t>
      </w:r>
    </w:p>
    <w:p w14:paraId="216B46B2" w14:textId="77777777" w:rsidR="00557696" w:rsidRDefault="00557696"/>
    <w:p w14:paraId="2B83DCAD" w14:textId="77777777" w:rsidR="00557696" w:rsidRDefault="00557696">
      <w:r w:rsidRPr="00557696">
        <w:rPr>
          <w:b/>
        </w:rPr>
        <w:t>Full Study:</w:t>
      </w:r>
    </w:p>
    <w:p w14:paraId="7CB5B3A8" w14:textId="77777777" w:rsidR="00557696" w:rsidRDefault="00557696"/>
    <w:p w14:paraId="61BA39ED" w14:textId="77777777" w:rsidR="00557696" w:rsidRPr="00557696" w:rsidRDefault="00557696">
      <w:pPr>
        <w:rPr>
          <w:b/>
        </w:rPr>
      </w:pPr>
      <w:r w:rsidRPr="00557696">
        <w:rPr>
          <w:b/>
        </w:rPr>
        <w:t>1. Word Picture / Background</w:t>
      </w:r>
    </w:p>
    <w:p w14:paraId="404D29B7" w14:textId="77777777" w:rsidR="00557696" w:rsidRDefault="00557696">
      <w:r>
        <w:t>• In classical Greek, the word diatheke primarily denoted a "last will and testament." It is derived from the preposition dia (through or between) and the verb tithemi (to place, set, or arrange). Together, they carry the word picture of "setting one's affairs in order" or making a binding disposition of property.</w:t>
      </w:r>
    </w:p>
    <w:p w14:paraId="6B462B8B" w14:textId="77777777" w:rsidR="00557696" w:rsidRDefault="00557696">
      <w:r>
        <w:t>• This word contrasts sharply with syntheke, the common classical Greek term for a bilateral agreement, contract, or treaty between equals (from syn, meaning "together," and tithemi).</w:t>
      </w:r>
    </w:p>
    <w:p w14:paraId="7E015A12" w14:textId="77777777" w:rsidR="00557696" w:rsidRDefault="00557696">
      <w:r>
        <w:t>• The New Testament writers, following the pattern of the Septuagint, avoided syntheke and preferred diatheke. This choice highlights that a biblical covenant is not a negotiated contract between equals. Instead, it is a sovereign disposition initiated and established by God alone, which humans can either accept or reject, but cannot renegotiate.</w:t>
      </w:r>
    </w:p>
    <w:p w14:paraId="14E95802" w14:textId="77777777" w:rsidR="00557696" w:rsidRDefault="00557696"/>
    <w:p w14:paraId="56E1F4C1" w14:textId="77777777" w:rsidR="00557696" w:rsidRPr="00557696" w:rsidRDefault="00557696">
      <w:pPr>
        <w:rPr>
          <w:b/>
        </w:rPr>
      </w:pPr>
      <w:r w:rsidRPr="00557696">
        <w:rPr>
          <w:b/>
        </w:rPr>
        <w:t>2. Meaning / Lexical Definition</w:t>
      </w:r>
    </w:p>
    <w:p w14:paraId="35777A83" w14:textId="77777777" w:rsidR="00557696" w:rsidRDefault="00557696">
      <w:r>
        <w:t>• Diatheke carries two primary lexical definitions in biblical literature:</w:t>
      </w:r>
    </w:p>
    <w:p w14:paraId="43A3CABB" w14:textId="77777777" w:rsidR="00557696" w:rsidRDefault="00557696">
      <w:r>
        <w:t>• A covenant, treaty, compact, or solemn agreement, specifically the theological arrangements established by God with humanity (such as the Abrahamic, Mosaic, and New Covenants).</w:t>
      </w:r>
    </w:p>
    <w:p w14:paraId="7DA54B49" w14:textId="77777777" w:rsidR="00557696" w:rsidRDefault="00557696">
      <w:r>
        <w:t>• A last will and testament, which is a legal disposition of one's possessions that only takes effect upon the death of the testator.</w:t>
      </w:r>
    </w:p>
    <w:p w14:paraId="49462A2D" w14:textId="77777777" w:rsidR="00557696" w:rsidRDefault="00557696">
      <w:r>
        <w:t>• In Galatians 3:15, the word encompasses both nuances. It describes a legally ratified human agreement or disposition of property that, once finalized, possesses absolute legal permanence.</w:t>
      </w:r>
    </w:p>
    <w:p w14:paraId="23CCE787" w14:textId="77777777" w:rsidR="00557696" w:rsidRDefault="00557696"/>
    <w:p w14:paraId="06DADE18" w14:textId="77777777" w:rsidR="00557696" w:rsidRPr="00557696" w:rsidRDefault="00557696">
      <w:pPr>
        <w:rPr>
          <w:b/>
        </w:rPr>
      </w:pPr>
      <w:r w:rsidRPr="00557696">
        <w:rPr>
          <w:b/>
        </w:rPr>
        <w:t>3. Usage and Word Pictures</w:t>
      </w:r>
    </w:p>
    <w:p w14:paraId="1586ED1A" w14:textId="77777777" w:rsidR="00557696" w:rsidRDefault="00557696">
      <w:r>
        <w:t>• The word occurs 33 times in the New Testament, frequently linking Old Testament promises with their New Testament fulfillment.</w:t>
      </w:r>
    </w:p>
    <w:p w14:paraId="7442C2A1" w14:textId="77777777" w:rsidR="00557696" w:rsidRDefault="00557696">
      <w:r>
        <w:t>• The legal metaphor in Galatians 3:15 draws upon Hellenistic and Roman probate law. In the ancient world, once a diatheke was legally validated (kyroo, translated "confirmed"), it was legally protected. No unauthorized person could nullify it (atheteo, translated "annuls") or add supplementary clauses to it (epidiatassomai, translated "adds to it").</w:t>
      </w:r>
    </w:p>
    <w:p w14:paraId="40317F91" w14:textId="77777777" w:rsidR="00557696" w:rsidRDefault="00557696">
      <w:r>
        <w:t>• This legal picture provides a vivid cultural analogy for Paul's readers: if human laws protect a human will from being altered after ratification, God's sovereign covenant is infinitely more secure.</w:t>
      </w:r>
    </w:p>
    <w:p w14:paraId="45F7B8DD" w14:textId="77777777" w:rsidR="00557696" w:rsidRDefault="00557696"/>
    <w:p w14:paraId="4B7BD24C" w14:textId="77777777" w:rsidR="00557696" w:rsidRPr="00557696" w:rsidRDefault="00557696">
      <w:pPr>
        <w:rPr>
          <w:b/>
        </w:rPr>
      </w:pPr>
      <w:r w:rsidRPr="00557696">
        <w:rPr>
          <w:b/>
        </w:rPr>
        <w:t>4. Theological Implications</w:t>
      </w:r>
    </w:p>
    <w:p w14:paraId="683F898B" w14:textId="77777777" w:rsidR="00557696" w:rsidRDefault="00557696">
      <w:r>
        <w:t>• The Irrevocability of Promise: God's redemptive plan is rooted in an unchangeable covenant of grace. Because God initiated and ratified the covenant with Abraham, its terms are permanent and cannot be modified by subsequent historical events.</w:t>
      </w:r>
    </w:p>
    <w:p w14:paraId="688C94D3" w14:textId="77777777" w:rsidR="00557696" w:rsidRDefault="00557696">
      <w:r>
        <w:t>• Grace Precedes Law: The theological priority of the Abrahamic Covenant over the Mosaic Law demonstrates that salvation has always been based on promise and faith, not legal performance. The Law did not replace or amend the original covenant of grace; rather, it served a temporary, pedagogical purpose.</w:t>
      </w:r>
    </w:p>
    <w:p w14:paraId="7436621A" w14:textId="77777777" w:rsidR="00557696" w:rsidRDefault="00557696"/>
    <w:p w14:paraId="655E7E86" w14:textId="77777777" w:rsidR="00557696" w:rsidRPr="00557696" w:rsidRDefault="00557696">
      <w:pPr>
        <w:rPr>
          <w:b/>
        </w:rPr>
      </w:pPr>
      <w:r w:rsidRPr="00557696">
        <w:rPr>
          <w:b/>
        </w:rPr>
        <w:t>5. Contextual Nuance in the Passage</w:t>
      </w:r>
    </w:p>
    <w:p w14:paraId="7528B6EA" w14:textId="77777777" w:rsidR="00557696" w:rsidRDefault="00557696">
      <w:r>
        <w:t>• In Galatians 3:15, Paul uses an a fortiori argument (an argument from the lesser to the greater), explicitly noting, "I speak in the manner of men."</w:t>
      </w:r>
    </w:p>
    <w:p w14:paraId="35FE1FDA" w14:textId="77777777" w:rsidR="00557696" w:rsidRDefault="00557696">
      <w:r>
        <w:t>• His point is simple: if human legal systems demand that a ratified diatheke be treated as unalterable, then God's divine covenant is absolutely inviolable.</w:t>
      </w:r>
    </w:p>
    <w:p w14:paraId="7118B6F3" w14:textId="77777777" w:rsidR="00557696" w:rsidRDefault="00557696">
      <w:r>
        <w:t>• The covenant Paul refers to is the promise made to Abraham and his "Seed," which is Christ (v. 16). Since this covenant of promise was established first, the giving of the Mosaic Law 430 years later cannot annul it. The Law cannot add "fine print" or conditional clauses to the inheritance of faith.</w:t>
      </w:r>
    </w:p>
    <w:p w14:paraId="5C2F706D" w14:textId="77777777" w:rsidR="00557696" w:rsidRDefault="00557696"/>
    <w:p w14:paraId="22F8F205" w14:textId="77777777" w:rsidR="00557696" w:rsidRPr="00557696" w:rsidRDefault="00557696">
      <w:pPr>
        <w:rPr>
          <w:b/>
        </w:rPr>
      </w:pPr>
      <w:r w:rsidRPr="00557696">
        <w:rPr>
          <w:b/>
        </w:rPr>
        <w:t>6. Key Uses in Other Verses (NKJV)</w:t>
      </w:r>
    </w:p>
    <w:p w14:paraId="43697D49" w14:textId="77777777" w:rsidR="00557696" w:rsidRDefault="00557696">
      <w:r>
        <w:t>• Matthew 26:28: "For this is My blood of the new covenant, which is shed for many for the remission of sins."</w:t>
      </w:r>
    </w:p>
    <w:p w14:paraId="40F840B2" w14:textId="77777777" w:rsidR="00557696" w:rsidRDefault="00557696">
      <w:r>
        <w:t>• Luke 1:72: "To perform the mercy promised to our fathers And to remember His holy covenant,"</w:t>
      </w:r>
    </w:p>
    <w:p w14:paraId="0ED6CB14" w14:textId="77777777" w:rsidR="00557696" w:rsidRDefault="00557696">
      <w:r>
        <w:t>• Romans 9:4: "who are Israelites, to whom belong the adoption, the glory, the covenants, the giving of the law, the service of God, and the promises;"</w:t>
      </w:r>
    </w:p>
    <w:p w14:paraId="61396CA5" w14:textId="77777777" w:rsidR="00557696" w:rsidRDefault="00557696">
      <w:r>
        <w:t>• 2 Corinthians 3:14: "But their minds were blinded. For until this day the same veil remains unlifted in the reading of the Old Covenant, because the veil is taken away in Christ."</w:t>
      </w:r>
    </w:p>
    <w:p w14:paraId="7309E07D" w14:textId="77777777" w:rsidR="00557696" w:rsidRDefault="00557696">
      <w:r>
        <w:t>• Hebrews 8:6: "But now He has obtained a more excellent ministry, inasmuch as He is also Mediator of a better covenant, which was established on better promises."</w:t>
      </w:r>
    </w:p>
    <w:p w14:paraId="5CF6007D" w14:textId="77777777" w:rsidR="00557696" w:rsidRDefault="00557696"/>
    <w:p w14:paraId="647D9699" w14:textId="77777777" w:rsidR="00557696" w:rsidRPr="00557696" w:rsidRDefault="00557696">
      <w:pPr>
        <w:rPr>
          <w:b/>
        </w:rPr>
      </w:pPr>
      <w:r w:rsidRPr="00557696">
        <w:rPr>
          <w:b/>
        </w:rPr>
        <w:t>7. Other Relevant Insights</w:t>
      </w:r>
    </w:p>
    <w:p w14:paraId="41074798" w14:textId="77777777" w:rsidR="00557696" w:rsidRDefault="00557696">
      <w:r>
        <w:t>• In the Septuagint, diatheke was chosen nearly 270 times to translate the Hebrew word berit (covenant). This deliberate translation choice shifted the primary Greek understanding of the word from a mere "will" to a sovereign "covenant arrangement."</w:t>
      </w:r>
    </w:p>
    <w:p w14:paraId="4F526E28" w14:textId="77777777" w:rsidR="00557696" w:rsidRDefault="00557696">
      <w:r>
        <w:t>• The English word "Testament" (as in Old and New Testaments) directly derives from the Latin translation of diatheke (testamentum), preserving this dual sense of covenant and will.</w:t>
      </w:r>
    </w:p>
    <w:p w14:paraId="2858C980" w14:textId="77777777" w:rsidR="00557696" w:rsidRDefault="00557696"/>
    <w:p w14:paraId="71370C96" w14:textId="77777777" w:rsidR="00557696" w:rsidRPr="00557696" w:rsidRDefault="00557696">
      <w:pPr>
        <w:rPr>
          <w:b/>
        </w:rPr>
      </w:pPr>
      <w:r w:rsidRPr="00557696">
        <w:rPr>
          <w:b/>
        </w:rPr>
        <w:t>8. References</w:t>
      </w:r>
    </w:p>
    <w:p w14:paraId="67EAD592" w14:textId="77777777" w:rsidR="00557696" w:rsidRDefault="00557696">
      <w:r>
        <w:t>- BDAG, Third Edition</w:t>
      </w:r>
    </w:p>
    <w:p w14:paraId="37101E47" w14:textId="77777777" w:rsidR="00557696" w:rsidRDefault="00557696">
      <w:r>
        <w:t>- Vine's Expository Dictionary of New Testament Words</w:t>
      </w:r>
    </w:p>
    <w:p w14:paraId="00665447" w14:textId="77777777" w:rsidR="00557696" w:rsidRDefault="00557696">
      <w:r>
        <w:t>- Theological Dictionary of the New Testament</w:t>
      </w:r>
    </w:p>
    <w:p w14:paraId="70BBCA08" w14:textId="77777777" w:rsidR="00557696" w:rsidRDefault="00557696">
      <w:r>
        <w:t>- Thayer's Greek-English Lexicon</w:t>
      </w:r>
    </w:p>
    <w:p w14:paraId="6F42957B" w14:textId="77777777" w:rsidR="004C5552" w:rsidRDefault="00557696">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6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7696"/>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462E"/>
  <w15:chartTrackingRefBased/>
  <w15:docId w15:val="{5C817970-21C7-434A-982B-F42DD9A1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7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7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696"/>
    <w:rPr>
      <w:rFonts w:eastAsiaTheme="majorEastAsia" w:cstheme="majorBidi"/>
      <w:color w:val="272727" w:themeColor="text1" w:themeTint="D8"/>
    </w:rPr>
  </w:style>
  <w:style w:type="paragraph" w:styleId="Title">
    <w:name w:val="Title"/>
    <w:basedOn w:val="Normal"/>
    <w:next w:val="Normal"/>
    <w:link w:val="TitleChar"/>
    <w:uiPriority w:val="10"/>
    <w:qFormat/>
    <w:rsid w:val="00557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696"/>
    <w:pPr>
      <w:spacing w:before="160"/>
      <w:jc w:val="center"/>
    </w:pPr>
    <w:rPr>
      <w:i/>
      <w:iCs/>
      <w:color w:val="404040" w:themeColor="text1" w:themeTint="BF"/>
    </w:rPr>
  </w:style>
  <w:style w:type="character" w:customStyle="1" w:styleId="QuoteChar">
    <w:name w:val="Quote Char"/>
    <w:basedOn w:val="DefaultParagraphFont"/>
    <w:link w:val="Quote"/>
    <w:uiPriority w:val="29"/>
    <w:rsid w:val="00557696"/>
    <w:rPr>
      <w:i/>
      <w:iCs/>
      <w:color w:val="404040" w:themeColor="text1" w:themeTint="BF"/>
    </w:rPr>
  </w:style>
  <w:style w:type="paragraph" w:styleId="ListParagraph">
    <w:name w:val="List Paragraph"/>
    <w:basedOn w:val="Normal"/>
    <w:uiPriority w:val="34"/>
    <w:qFormat/>
    <w:rsid w:val="00557696"/>
    <w:pPr>
      <w:ind w:left="720"/>
      <w:contextualSpacing/>
    </w:pPr>
  </w:style>
  <w:style w:type="character" w:styleId="IntenseEmphasis">
    <w:name w:val="Intense Emphasis"/>
    <w:basedOn w:val="DefaultParagraphFont"/>
    <w:uiPriority w:val="21"/>
    <w:qFormat/>
    <w:rsid w:val="00557696"/>
    <w:rPr>
      <w:i/>
      <w:iCs/>
      <w:color w:val="2E74B5" w:themeColor="accent1" w:themeShade="BF"/>
    </w:rPr>
  </w:style>
  <w:style w:type="paragraph" w:styleId="IntenseQuote">
    <w:name w:val="Intense Quote"/>
    <w:basedOn w:val="Normal"/>
    <w:next w:val="Normal"/>
    <w:link w:val="IntenseQuoteChar"/>
    <w:uiPriority w:val="30"/>
    <w:qFormat/>
    <w:rsid w:val="005576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7696"/>
    <w:rPr>
      <w:i/>
      <w:iCs/>
      <w:color w:val="2E74B5" w:themeColor="accent1" w:themeShade="BF"/>
    </w:rPr>
  </w:style>
  <w:style w:type="character" w:styleId="IntenseReference">
    <w:name w:val="Intense Reference"/>
    <w:basedOn w:val="DefaultParagraphFont"/>
    <w:uiPriority w:val="32"/>
    <w:qFormat/>
    <w:rsid w:val="005576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4670</Characters>
  <Application>Microsoft Office Word</Application>
  <DocSecurity>0</DocSecurity>
  <Lines>89</Lines>
  <Paragraphs>48</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