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EBD3" w14:textId="77777777" w:rsidR="00E56E37" w:rsidRPr="00E56E37" w:rsidRDefault="00E56E37">
      <w:pPr>
        <w:rPr>
          <w:b/>
        </w:rPr>
      </w:pPr>
      <w:r w:rsidRPr="00E56E37">
        <w:rPr>
          <w:b/>
        </w:rPr>
        <w:t>TUTOR - ( paidagōgos , Strong's G3807 )</w:t>
      </w:r>
    </w:p>
    <w:p w14:paraId="2D1E1B4F" w14:textId="77777777" w:rsidR="00E56E37" w:rsidRDefault="00E56E37">
      <w:r w:rsidRPr="00E56E37">
        <w:rPr>
          <w:b/>
        </w:rPr>
        <w:t>Summary:</w:t>
      </w:r>
    </w:p>
    <w:p w14:paraId="046F32D9" w14:textId="77777777" w:rsidR="00E56E37" w:rsidRDefault="00E56E37">
      <w:r>
        <w:t>In the ancient Greco-Roman world, a paidagōgos was a trusted servant tasked with the moral and physical supervision of a master's child. He was not a schoolteacher, but a strict disciplinarian who protected the child, enforced rules, and escorted him to his actual teachers until he reached adulthood. In Galatians 3:25, Paul uses this vivid cultural picture to describe the temporary, restraining role of the Mosaic Law. The Law served as a strict guardian to keep God's people in line and prepare them for Christ. Once faith in Christ has come, the believer reaches spiritual adulthood and is no longer under the tutor's restrictive supervision.</w:t>
      </w:r>
    </w:p>
    <w:p w14:paraId="11564AA7" w14:textId="77777777" w:rsidR="00E56E37" w:rsidRDefault="00E56E37"/>
    <w:p w14:paraId="17FBD22B" w14:textId="77777777" w:rsidR="00E56E37" w:rsidRDefault="00E56E37">
      <w:r w:rsidRPr="00E56E37">
        <w:rPr>
          <w:b/>
        </w:rPr>
        <w:t>Full Study:</w:t>
      </w:r>
    </w:p>
    <w:p w14:paraId="38304221" w14:textId="77777777" w:rsidR="00E56E37" w:rsidRDefault="00E56E37"/>
    <w:p w14:paraId="11B963D0" w14:textId="77777777" w:rsidR="00E56E37" w:rsidRPr="00E56E37" w:rsidRDefault="00E56E37">
      <w:pPr>
        <w:rPr>
          <w:b/>
        </w:rPr>
      </w:pPr>
      <w:r w:rsidRPr="00E56E37">
        <w:rPr>
          <w:b/>
        </w:rPr>
        <w:t>1. Word Picture / Background</w:t>
      </w:r>
    </w:p>
    <w:p w14:paraId="3F5C59D9" w14:textId="77777777" w:rsidR="00E56E37" w:rsidRDefault="00E56E37">
      <w:r>
        <w:t>• The word is a compound of pais (a boy or child) and agōgos (a leader or guide, from the verb agō, meaning to lead). Literally, it means a "child-leader."</w:t>
      </w:r>
    </w:p>
    <w:p w14:paraId="3A2C177E" w14:textId="77777777" w:rsidR="00E56E37" w:rsidRDefault="00E56E37">
      <w:r>
        <w:t>• In Greek and Roman culture, wealthy households employed a specific slave as a paidagōgos to oversee a son from roughly the age of six until he reached late adolescence.</w:t>
      </w:r>
    </w:p>
    <w:p w14:paraId="0A23C375" w14:textId="77777777" w:rsidR="00E56E37" w:rsidRDefault="00E56E37">
      <w:r>
        <w:t>• This guardian was responsible for the child's moral development, manners, and physical safety. He accompanied the boy everywhere, carrying a rod to discipline him for misbehavior.</w:t>
      </w:r>
    </w:p>
    <w:p w14:paraId="4301C2B9" w14:textId="77777777" w:rsidR="00E56E37" w:rsidRDefault="00E56E37">
      <w:r>
        <w:t>• Crucially, the paidagōgos was not the academic teacher (didaskalos). His job was to guide the child safely to the school, ensure he paid attention, and enforce the teacher's lessons. Once the child reached the age of maturity, the authority of the paidagōgos was entirely dissolved.</w:t>
      </w:r>
    </w:p>
    <w:p w14:paraId="26E2C3E5" w14:textId="77777777" w:rsidR="00E56E37" w:rsidRDefault="00E56E37"/>
    <w:p w14:paraId="65593AD8" w14:textId="77777777" w:rsidR="00E56E37" w:rsidRPr="00E56E37" w:rsidRDefault="00E56E37">
      <w:pPr>
        <w:rPr>
          <w:b/>
        </w:rPr>
      </w:pPr>
      <w:r w:rsidRPr="00E56E37">
        <w:rPr>
          <w:b/>
        </w:rPr>
        <w:t>2. Meaning / Lexical Definition</w:t>
      </w:r>
    </w:p>
    <w:p w14:paraId="69FB8744" w14:textId="77777777" w:rsidR="00E56E37" w:rsidRDefault="00E56E37">
      <w:r>
        <w:t>• A guardian, custodian, superintendent, or guide of boys.</w:t>
      </w:r>
    </w:p>
    <w:p w14:paraId="027FEC03" w14:textId="77777777" w:rsidR="00E56E37" w:rsidRDefault="00E56E37">
      <w:r>
        <w:t>• A strict disciplinarian entrusted with the moral supervision of a youth.</w:t>
      </w:r>
    </w:p>
    <w:p w14:paraId="293294AB" w14:textId="77777777" w:rsidR="00E56E37" w:rsidRDefault="00E56E37">
      <w:r>
        <w:t>• English translations have rendered this word variously as "tutor" (NKJV, NASB), "schoolmaster" (KJV), "guardian" (ESV), or "custodian" (RSV). The modern idea of a "tutor" as an academic coach or a "schoolmaster" as a classroom teacher misses the disciplinary and custodial nature of the ancient role.</w:t>
      </w:r>
    </w:p>
    <w:p w14:paraId="44FFF2E2" w14:textId="77777777" w:rsidR="00E56E37" w:rsidRDefault="00E56E37"/>
    <w:p w14:paraId="1A2C1526" w14:textId="77777777" w:rsidR="00E56E37" w:rsidRPr="00E56E37" w:rsidRDefault="00E56E37">
      <w:pPr>
        <w:rPr>
          <w:b/>
        </w:rPr>
      </w:pPr>
      <w:r w:rsidRPr="00E56E37">
        <w:rPr>
          <w:b/>
        </w:rPr>
        <w:t>3. Usage and Word Pictures</w:t>
      </w:r>
    </w:p>
    <w:p w14:paraId="356B6EFE" w14:textId="77777777" w:rsidR="00E56E37" w:rsidRDefault="00E56E37">
      <w:r>
        <w:t>• The biblical usage heavily emphasizes the restrictive and temporary nature of the role. A child under a paidagōgos was heavily restricted, lacking the freedom of a mature adult.</w:t>
      </w:r>
    </w:p>
    <w:p w14:paraId="2D830D6A" w14:textId="77777777" w:rsidR="00E56E37" w:rsidRDefault="00E56E37">
      <w:r>
        <w:t>• The imagery invokes discipline. The paidagōgos was often depicted in ancient art holding a cane or a rod, ready to strike an unruly child. The Law similarly carried penalties and curses for disobedience, exposing sin and demanding strict compliance.</w:t>
      </w:r>
    </w:p>
    <w:p w14:paraId="6580E511" w14:textId="77777777" w:rsidR="00E56E37" w:rsidRDefault="00E56E37"/>
    <w:p w14:paraId="70C61256" w14:textId="77777777" w:rsidR="00E56E37" w:rsidRPr="00E56E37" w:rsidRDefault="00E56E37">
      <w:pPr>
        <w:rPr>
          <w:b/>
        </w:rPr>
      </w:pPr>
      <w:r w:rsidRPr="00E56E37">
        <w:rPr>
          <w:b/>
        </w:rPr>
        <w:t>4. Theological Implications</w:t>
      </w:r>
    </w:p>
    <w:p w14:paraId="4918AC3C" w14:textId="77777777" w:rsidR="00E56E37" w:rsidRDefault="00E56E37">
      <w:r>
        <w:t>• The Mosaic Law was given by God not as a permanent means of salvation, but as a temporary custodian for humanity. It locked people up under the reality of their sin and restricted behavior through strict commandments.</w:t>
      </w:r>
    </w:p>
    <w:p w14:paraId="08298ECE" w14:textId="77777777" w:rsidR="00E56E37" w:rsidRDefault="00E56E37">
      <w:r>
        <w:t>• The Law points to Christ. Just as the ancient guardian's job was to deliver the child safely to the actual teacher, the Law's purpose was to lead humanity to the cross by demonstrating the impossibility of self-righteousness.</w:t>
      </w:r>
    </w:p>
    <w:p w14:paraId="31C49653" w14:textId="77777777" w:rsidR="00E56E37" w:rsidRDefault="00E56E37">
      <w:r>
        <w:t>• Spiritual maturity fundamentally changes the believer's relationship to the Law. Justification by faith marks the transition from childhood (living under the strict external rules of the Law) to adult sonship (living in the freedom of the Spirit).</w:t>
      </w:r>
    </w:p>
    <w:p w14:paraId="53E8B19A" w14:textId="77777777" w:rsidR="00E56E37" w:rsidRDefault="00E56E37"/>
    <w:p w14:paraId="06F14C44" w14:textId="77777777" w:rsidR="00E56E37" w:rsidRPr="00E56E37" w:rsidRDefault="00E56E37">
      <w:pPr>
        <w:rPr>
          <w:b/>
        </w:rPr>
      </w:pPr>
      <w:r w:rsidRPr="00E56E37">
        <w:rPr>
          <w:b/>
        </w:rPr>
        <w:t>5. Contextual Nuance in the Passage</w:t>
      </w:r>
    </w:p>
    <w:p w14:paraId="26DEEAA4" w14:textId="77777777" w:rsidR="00E56E37" w:rsidRDefault="00E56E37">
      <w:r>
        <w:t>• In Galatians 3:25 ("But after faith has come, we are no longer under a tutor"), Paul's primary emphasis is on the expiration of the Law's authority.</w:t>
      </w:r>
    </w:p>
    <w:p w14:paraId="3783AAFE" w14:textId="77777777" w:rsidR="00E56E37" w:rsidRDefault="00E56E37">
      <w:r>
        <w:t>• The arrival of "faith" (the era of the New Covenant in Christ) means the believer has grown up. To go back to the Law—which the false teachers in Galatia were demanding by requiring circumcision—is to willingly subject oneself again to a childhood babysitter after having already been recognized as a full-grown adult heir.</w:t>
      </w:r>
    </w:p>
    <w:p w14:paraId="0573F823" w14:textId="77777777" w:rsidR="00E56E37" w:rsidRDefault="00E56E37">
      <w:r>
        <w:t>• The phrase "no longer" is a definitive boundary line in redemptive history and in the individual believer's life. The era of the custodian is permanently over.</w:t>
      </w:r>
    </w:p>
    <w:p w14:paraId="0801331B" w14:textId="77777777" w:rsidR="00E56E37" w:rsidRDefault="00E56E37"/>
    <w:p w14:paraId="26FF3A99" w14:textId="77777777" w:rsidR="00E56E37" w:rsidRPr="00E56E37" w:rsidRDefault="00E56E37">
      <w:pPr>
        <w:rPr>
          <w:b/>
        </w:rPr>
      </w:pPr>
      <w:r w:rsidRPr="00E56E37">
        <w:rPr>
          <w:b/>
        </w:rPr>
        <w:t>6. Key Uses in Other Verses (NKJV)</w:t>
      </w:r>
    </w:p>
    <w:p w14:paraId="1364F4E4" w14:textId="77777777" w:rsidR="00E56E37" w:rsidRDefault="00E56E37">
      <w:r>
        <w:t>• Galatians 3:24 - "Therefore the law was our tutor to bring us to Christ, that we might be justified by faith."</w:t>
      </w:r>
    </w:p>
    <w:p w14:paraId="50DA468D" w14:textId="77777777" w:rsidR="00E56E37" w:rsidRDefault="00E56E37">
      <w:r>
        <w:t>• 1 Corinthians 4:15 - "For though you might have ten thousand instructors [paidagōgous] in Christ, yet you do not have many fathers; for in Christ Jesus I have begotten you through the gospel." (Here, Paul contrasts the stern, disciplinary supervision of an "instructor" with the warm, loving, life-giving relationship of a spiritual "father.")</w:t>
      </w:r>
    </w:p>
    <w:p w14:paraId="5F0B61B6" w14:textId="77777777" w:rsidR="00E56E37" w:rsidRDefault="00E56E37"/>
    <w:p w14:paraId="573DA2E2" w14:textId="77777777" w:rsidR="00E56E37" w:rsidRPr="00E56E37" w:rsidRDefault="00E56E37">
      <w:pPr>
        <w:rPr>
          <w:b/>
        </w:rPr>
      </w:pPr>
      <w:r w:rsidRPr="00E56E37">
        <w:rPr>
          <w:b/>
        </w:rPr>
        <w:t>7. Other Relevant Insights</w:t>
      </w:r>
    </w:p>
    <w:p w14:paraId="20BAAADC" w14:textId="77777777" w:rsidR="00E56E37" w:rsidRDefault="00E56E37">
      <w:r>
        <w:t>• The English word "pedagogue" is a direct transliteration of paidagōgos. Today, it usually refers to a strict, pedantic teacher, which reflects the historical evolution of the word more than its original ancient meaning.</w:t>
      </w:r>
    </w:p>
    <w:p w14:paraId="2C76C81A" w14:textId="77777777" w:rsidR="00E56E37" w:rsidRDefault="00E56E37">
      <w:r>
        <w:t>• John Chrysostom, an early church father, noted the beautiful irony of the metaphor: the paidagōgos is not an enemy of the teacher but a partner. The Law is not contrary to Christ; rather, the Law's strictness was designed precisely to make us desire the grace found only in Christ.</w:t>
      </w:r>
    </w:p>
    <w:p w14:paraId="3EA8F63F" w14:textId="77777777" w:rsidR="00E56E37" w:rsidRDefault="00E56E37"/>
    <w:p w14:paraId="38B059D5" w14:textId="77777777" w:rsidR="00E56E37" w:rsidRPr="00E56E37" w:rsidRDefault="00E56E37">
      <w:pPr>
        <w:rPr>
          <w:b/>
        </w:rPr>
      </w:pPr>
      <w:r w:rsidRPr="00E56E37">
        <w:rPr>
          <w:b/>
        </w:rPr>
        <w:t>8. References</w:t>
      </w:r>
    </w:p>
    <w:p w14:paraId="3B1DA3E1" w14:textId="77777777" w:rsidR="00E56E37" w:rsidRDefault="00E56E37">
      <w:r>
        <w:t>• BDAG (Bauer, Danker, Arndt, Gingrich), Greek-English Lexicon of the New Testament</w:t>
      </w:r>
    </w:p>
    <w:p w14:paraId="4A9A852F" w14:textId="77777777" w:rsidR="00E56E37" w:rsidRDefault="00E56E37">
      <w:r>
        <w:t>• TDNT (Theological Dictionary of the New Testament), Kittel and Friedrich</w:t>
      </w:r>
    </w:p>
    <w:p w14:paraId="3E0E1CA8" w14:textId="77777777" w:rsidR="00E56E37" w:rsidRDefault="00E56E37">
      <w:r>
        <w:t>• Vine’s Complete Expository Dictionary of Old and New Testament Words</w:t>
      </w:r>
    </w:p>
    <w:p w14:paraId="25A23B2D" w14:textId="77777777" w:rsidR="00E56E37" w:rsidRDefault="00E56E37">
      <w:r>
        <w:t>• Wuest's Word Studies in the Greek New Testament</w:t>
      </w:r>
    </w:p>
    <w:p w14:paraId="7A221576" w14:textId="5BC4F13B" w:rsidR="004C5552" w:rsidRDefault="00E56E37">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E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6E37"/>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560F"/>
  <w15:chartTrackingRefBased/>
  <w15:docId w15:val="{3D702182-2906-4D93-8F0F-B1F9A7BA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6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6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E37"/>
    <w:rPr>
      <w:rFonts w:eastAsiaTheme="majorEastAsia" w:cstheme="majorBidi"/>
      <w:color w:val="272727" w:themeColor="text1" w:themeTint="D8"/>
    </w:rPr>
  </w:style>
  <w:style w:type="paragraph" w:styleId="Title">
    <w:name w:val="Title"/>
    <w:basedOn w:val="Normal"/>
    <w:next w:val="Normal"/>
    <w:link w:val="TitleChar"/>
    <w:uiPriority w:val="10"/>
    <w:qFormat/>
    <w:rsid w:val="00E56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E37"/>
    <w:pPr>
      <w:spacing w:before="160"/>
      <w:jc w:val="center"/>
    </w:pPr>
    <w:rPr>
      <w:i/>
      <w:iCs/>
      <w:color w:val="404040" w:themeColor="text1" w:themeTint="BF"/>
    </w:rPr>
  </w:style>
  <w:style w:type="character" w:customStyle="1" w:styleId="QuoteChar">
    <w:name w:val="Quote Char"/>
    <w:basedOn w:val="DefaultParagraphFont"/>
    <w:link w:val="Quote"/>
    <w:uiPriority w:val="29"/>
    <w:rsid w:val="00E56E37"/>
    <w:rPr>
      <w:i/>
      <w:iCs/>
      <w:color w:val="404040" w:themeColor="text1" w:themeTint="BF"/>
    </w:rPr>
  </w:style>
  <w:style w:type="paragraph" w:styleId="ListParagraph">
    <w:name w:val="List Paragraph"/>
    <w:basedOn w:val="Normal"/>
    <w:uiPriority w:val="34"/>
    <w:qFormat/>
    <w:rsid w:val="00E56E37"/>
    <w:pPr>
      <w:ind w:left="720"/>
      <w:contextualSpacing/>
    </w:pPr>
  </w:style>
  <w:style w:type="character" w:styleId="IntenseEmphasis">
    <w:name w:val="Intense Emphasis"/>
    <w:basedOn w:val="DefaultParagraphFont"/>
    <w:uiPriority w:val="21"/>
    <w:qFormat/>
    <w:rsid w:val="00E56E37"/>
    <w:rPr>
      <w:i/>
      <w:iCs/>
      <w:color w:val="2E74B5" w:themeColor="accent1" w:themeShade="BF"/>
    </w:rPr>
  </w:style>
  <w:style w:type="paragraph" w:styleId="IntenseQuote">
    <w:name w:val="Intense Quote"/>
    <w:basedOn w:val="Normal"/>
    <w:next w:val="Normal"/>
    <w:link w:val="IntenseQuoteChar"/>
    <w:uiPriority w:val="30"/>
    <w:qFormat/>
    <w:rsid w:val="00E56E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6E37"/>
    <w:rPr>
      <w:i/>
      <w:iCs/>
      <w:color w:val="2E74B5" w:themeColor="accent1" w:themeShade="BF"/>
    </w:rPr>
  </w:style>
  <w:style w:type="character" w:styleId="IntenseReference">
    <w:name w:val="Intense Reference"/>
    <w:basedOn w:val="DefaultParagraphFont"/>
    <w:uiPriority w:val="32"/>
    <w:qFormat/>
    <w:rsid w:val="00E56E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4407</Characters>
  <Application>Microsoft Office Word</Application>
  <DocSecurity>0</DocSecurity>
  <Lines>84</Lines>
  <Paragraphs>46</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