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6A623" w14:textId="77777777" w:rsidR="00897F52" w:rsidRPr="00897F52" w:rsidRDefault="00897F52">
      <w:pPr>
        <w:rPr>
          <w:b/>
        </w:rPr>
      </w:pPr>
      <w:r w:rsidRPr="00897F52">
        <w:rPr>
          <w:b/>
        </w:rPr>
        <w:t>BONDAGE - ( douleuō , Strong's G1398 )</w:t>
      </w:r>
    </w:p>
    <w:p w14:paraId="1BD7CF43" w14:textId="77777777" w:rsidR="00897F52" w:rsidRDefault="00897F52">
      <w:r w:rsidRPr="00897F52">
        <w:rPr>
          <w:b/>
        </w:rPr>
        <w:t>Summary:</w:t>
      </w:r>
    </w:p>
    <w:p w14:paraId="721658F4" w14:textId="77777777" w:rsidR="00897F52" w:rsidRDefault="00897F52">
      <w:r>
        <w:t>The Greek verb douleuō means to serve as a slave, to be in subjection, or to exist in a state of bondage. In Galatians 4:25, Paul uses this term to describe the spiritual condition of first-century Jerusalem and her children, who remained enslaved to the legalistic demands of the Mosaic Law. Rather than enjoying the freedom of sons and heirs through the promise of the gospel, those who reject Christ and cling to the law remain in a state of spiritual servitude, bound by a system that has no power to save.</w:t>
      </w:r>
    </w:p>
    <w:p w14:paraId="0E31E4E9" w14:textId="77777777" w:rsidR="00897F52" w:rsidRDefault="00897F52"/>
    <w:p w14:paraId="25B065A6" w14:textId="77777777" w:rsidR="00897F52" w:rsidRDefault="00897F52">
      <w:r w:rsidRPr="00897F52">
        <w:rPr>
          <w:b/>
        </w:rPr>
        <w:t>Full Study:</w:t>
      </w:r>
    </w:p>
    <w:p w14:paraId="3A8DC8FD" w14:textId="77777777" w:rsidR="00897F52" w:rsidRDefault="00897F52"/>
    <w:p w14:paraId="650D64D5" w14:textId="77777777" w:rsidR="00897F52" w:rsidRPr="00897F52" w:rsidRDefault="00897F52">
      <w:pPr>
        <w:rPr>
          <w:b/>
        </w:rPr>
      </w:pPr>
      <w:r w:rsidRPr="00897F52">
        <w:rPr>
          <w:b/>
        </w:rPr>
        <w:t>1. Word Picture / Background</w:t>
      </w:r>
    </w:p>
    <w:p w14:paraId="3FA9C46A" w14:textId="77777777" w:rsidR="00897F52" w:rsidRDefault="00897F52">
      <w:r>
        <w:t>• In the ancient Greco-Roman world, slavery (douleia) was a pervasive social reality. A slave (doulos) was owned by another, possessed no legal rights of self-determination, and was entirely subject to the master's will.</w:t>
      </w:r>
    </w:p>
    <w:p w14:paraId="3AD41167" w14:textId="77777777" w:rsidR="00897F52" w:rsidRDefault="00897F52">
      <w:r>
        <w:t>• The verb douleuō captures this total surrender of will and absolute dependence. Unlike a hired servant (misthios), who worked for wages and retained personal freedom, a slave's entire existence was legally and practically bound to the owner.</w:t>
      </w:r>
    </w:p>
    <w:p w14:paraId="2A821400" w14:textId="77777777" w:rsidR="00897F52" w:rsidRDefault="00897F52">
      <w:r>
        <w:t>• When applied spiritually in the New Testament, this word-picture illustrates a state of absolute subservience—either to sin, the law, or to God. It underscores that humanity is never completely autonomous; everyone serves a master.</w:t>
      </w:r>
    </w:p>
    <w:p w14:paraId="2A3606D3" w14:textId="77777777" w:rsidR="00897F52" w:rsidRDefault="00897F52"/>
    <w:p w14:paraId="12DC3960" w14:textId="77777777" w:rsidR="00897F52" w:rsidRPr="00897F52" w:rsidRDefault="00897F52">
      <w:pPr>
        <w:rPr>
          <w:b/>
        </w:rPr>
      </w:pPr>
      <w:r w:rsidRPr="00897F52">
        <w:rPr>
          <w:b/>
        </w:rPr>
        <w:t>2. Meaning / Lexical Definition</w:t>
      </w:r>
    </w:p>
    <w:p w14:paraId="6469D66B" w14:textId="77777777" w:rsidR="00897F52" w:rsidRDefault="00897F52">
      <w:r>
        <w:t>• Douleuō means to act as a slave, to serve, or to be in a state of bondage.</w:t>
      </w:r>
    </w:p>
    <w:p w14:paraId="6534962A" w14:textId="77777777" w:rsidR="00897F52" w:rsidRDefault="00897F52">
      <w:r>
        <w:t>• It denotes the performance of service under compulsion, necessity, or absolute obligation.</w:t>
      </w:r>
    </w:p>
    <w:p w14:paraId="025E793A" w14:textId="77777777" w:rsidR="00897F52" w:rsidRDefault="00897F52">
      <w:r>
        <w:t>• In a figurative sense, the word refers to being controlled by someone or something, such as elemental spirits, riches (Mammon), sinful desires, or religious legalism.</w:t>
      </w:r>
    </w:p>
    <w:p w14:paraId="0135A20E" w14:textId="77777777" w:rsidR="00897F52" w:rsidRDefault="00897F52"/>
    <w:p w14:paraId="0B9D72B2" w14:textId="77777777" w:rsidR="00897F52" w:rsidRPr="00897F52" w:rsidRDefault="00897F52">
      <w:pPr>
        <w:rPr>
          <w:b/>
        </w:rPr>
      </w:pPr>
      <w:r w:rsidRPr="00897F52">
        <w:rPr>
          <w:b/>
        </w:rPr>
        <w:t>3. Usage and Word Pictures</w:t>
      </w:r>
    </w:p>
    <w:p w14:paraId="016505D9" w14:textId="77777777" w:rsidR="00897F52" w:rsidRDefault="00897F52">
      <w:r>
        <w:lastRenderedPageBreak/>
        <w:t>• The doulos word group (doulos, douleuō, douleia) is systematically contrasted in the New Testament with freedom (eleutheria) and sonship (huiothesia).</w:t>
      </w:r>
    </w:p>
    <w:p w14:paraId="46287CB4" w14:textId="77777777" w:rsidR="00897F52" w:rsidRDefault="00897F52">
      <w:r>
        <w:t>• In the Septuagint (LXX), douleuō frequently translates the Hebrew abad, referring to Israel's physical servitude to foreign nations (like Egypt or Babylon) or their religious service to Yahweh. Paul draws on both of these associations to contrast the old covenant of Sinai with the new covenant of grace.</w:t>
      </w:r>
    </w:p>
    <w:p w14:paraId="5D341530" w14:textId="77777777" w:rsidR="00897F52" w:rsidRDefault="00897F52">
      <w:r>
        <w:t>• The word-picture of slavery in the New Testament emphasizes that attempting to find righteousness through the law is not a path to holiness, but a return to a prison house.</w:t>
      </w:r>
    </w:p>
    <w:p w14:paraId="3BCADEE6" w14:textId="77777777" w:rsidR="00897F52" w:rsidRDefault="00897F52"/>
    <w:p w14:paraId="5B6C9044" w14:textId="77777777" w:rsidR="00897F52" w:rsidRPr="00897F52" w:rsidRDefault="00897F52">
      <w:pPr>
        <w:rPr>
          <w:b/>
        </w:rPr>
      </w:pPr>
      <w:r w:rsidRPr="00897F52">
        <w:rPr>
          <w:b/>
        </w:rPr>
        <w:t>4. Theological Implications</w:t>
      </w:r>
    </w:p>
    <w:p w14:paraId="40CDA706" w14:textId="77777777" w:rsidR="00897F52" w:rsidRDefault="00897F52">
      <w:r>
        <w:t>• In the economy of God, the law was a temporary guardian designed to point to Christ. To remain under the law after Christ has come is to choose slavery over sonship.</w:t>
      </w:r>
    </w:p>
    <w:p w14:paraId="12CFAB2E" w14:textId="77777777" w:rsidR="00897F52" w:rsidRDefault="00897F52">
      <w:r>
        <w:t>• Legalism is a form of spiritual bondage because it forces the individual to rely on human effort to achieve a standing before God—a task that is impossible and leads to condemnation.</w:t>
      </w:r>
    </w:p>
    <w:p w14:paraId="5C6CB466" w14:textId="77777777" w:rsidR="00897F52" w:rsidRDefault="00897F52">
      <w:r>
        <w:t>• True freedom is not the absence of a master, but a change of masters. Believers are set free from the bondage of the law and sin to willingly and joyfully serve Jesus Christ, which is the only true freedom.</w:t>
      </w:r>
    </w:p>
    <w:p w14:paraId="4273F10D" w14:textId="77777777" w:rsidR="00897F52" w:rsidRDefault="00897F52"/>
    <w:p w14:paraId="343BD7F4" w14:textId="77777777" w:rsidR="00897F52" w:rsidRPr="00897F52" w:rsidRDefault="00897F52">
      <w:pPr>
        <w:rPr>
          <w:b/>
        </w:rPr>
      </w:pPr>
      <w:r w:rsidRPr="00897F52">
        <w:rPr>
          <w:b/>
        </w:rPr>
        <w:t>5. Contextual Nuance in the Passage</w:t>
      </w:r>
    </w:p>
    <w:p w14:paraId="0DD9BE8A" w14:textId="77777777" w:rsidR="00897F52" w:rsidRDefault="00897F52">
      <w:r>
        <w:t>• In Galatians 4:21-31, Paul develops an allegory based on Abraham’s two wives: Hagar (the slave woman) and Sarah (the free woman).</w:t>
      </w:r>
    </w:p>
    <w:p w14:paraId="3A7E37B4" w14:textId="77777777" w:rsidR="00897F52" w:rsidRDefault="00897F52">
      <w:r>
        <w:t>• Hagar represents the covenant of Mount Sinai, which "genders to bondage." In verse 25, Paul associates Hagar with the "present Jerusalem" (the earthly center of Judaism in his day), stating that she "is in bondage (douleuō) with her children."</w:t>
      </w:r>
    </w:p>
    <w:p w14:paraId="18EB04BE" w14:textId="77777777" w:rsidR="00897F52" w:rsidRDefault="00897F52">
      <w:r>
        <w:t>• The contextual nuance is highly ironical and polemical. The Jewish religious establishment prided itself on being the free descendants of Abraham. Yet Paul declares that because they reject the Messiah and cling to the law for justification, they are actually in a state of spiritual slavery, mirroring Hagar and her outcast son.</w:t>
      </w:r>
    </w:p>
    <w:p w14:paraId="266185CB" w14:textId="77777777" w:rsidR="00897F52" w:rsidRDefault="00897F52"/>
    <w:p w14:paraId="3D894777" w14:textId="77777777" w:rsidR="00897F52" w:rsidRPr="00897F52" w:rsidRDefault="00897F52">
      <w:pPr>
        <w:rPr>
          <w:b/>
        </w:rPr>
      </w:pPr>
      <w:r w:rsidRPr="00897F52">
        <w:rPr>
          <w:b/>
        </w:rPr>
        <w:t>6. Key Uses in Other Verses (NKJV)</w:t>
      </w:r>
    </w:p>
    <w:p w14:paraId="25D8DC6C" w14:textId="77777777" w:rsidR="00897F52" w:rsidRDefault="00897F52">
      <w:r>
        <w:lastRenderedPageBreak/>
        <w:t>• Matthew 6:24: "No one can serve (douleuō) two masters... You cannot serve (douleuō) God and mammon."</w:t>
      </w:r>
    </w:p>
    <w:p w14:paraId="0423D3AF" w14:textId="77777777" w:rsidR="00897F52" w:rsidRDefault="00897F52">
      <w:r>
        <w:t>• Romans 6:6: "...that we should no longer be slaves (douleuō) of sin."</w:t>
      </w:r>
    </w:p>
    <w:p w14:paraId="61B28C96" w14:textId="77777777" w:rsidR="00897F52" w:rsidRDefault="00897F52">
      <w:r>
        <w:t>• Romans 7:25: "So then, with the mind I myself serve (douleuō) the law of God, but with the flesh the law of sin."</w:t>
      </w:r>
    </w:p>
    <w:p w14:paraId="6215B289" w14:textId="77777777" w:rsidR="00897F52" w:rsidRDefault="00897F52">
      <w:r>
        <w:t>• Galatians 4:9: "...how is it that you turn again to the weak and beggarly elements, to which you desire again to be in bondage (douleuō)?"</w:t>
      </w:r>
    </w:p>
    <w:p w14:paraId="41174618" w14:textId="77777777" w:rsidR="00897F52" w:rsidRDefault="00897F52">
      <w:r>
        <w:t>• Galatians 5:13: "For you, brethren, have been called to liberty; only do not use liberty as an opportunity for the flesh, but through love serve (douleuō) one another."</w:t>
      </w:r>
    </w:p>
    <w:p w14:paraId="62F07728" w14:textId="77777777" w:rsidR="00897F52" w:rsidRDefault="00897F52"/>
    <w:p w14:paraId="0FD40F4A" w14:textId="77777777" w:rsidR="00897F52" w:rsidRPr="00897F52" w:rsidRDefault="00897F52">
      <w:pPr>
        <w:rPr>
          <w:b/>
        </w:rPr>
      </w:pPr>
      <w:r w:rsidRPr="00897F52">
        <w:rPr>
          <w:b/>
        </w:rPr>
        <w:t>7. Other Relevant Insights</w:t>
      </w:r>
    </w:p>
    <w:p w14:paraId="5FB1CA21" w14:textId="77777777" w:rsidR="00897F52" w:rsidRDefault="00897F52">
      <w:r>
        <w:t>• The tragedy of the Galatian crisis was that the Gentile Galatians, who had been delivered from pagan bondage, were being enticed by Judaizers to enter a different form of bondage under the Mosaic Law. Paul argues that both pagan idolatry and Christless Jewish legalism fall under the same category: slavery to the "elementary principles of the world" (Galatians 4:3, 9).</w:t>
      </w:r>
    </w:p>
    <w:p w14:paraId="334A83FA" w14:textId="77777777" w:rsidR="00897F52" w:rsidRDefault="00897F52"/>
    <w:p w14:paraId="77ADA546" w14:textId="77777777" w:rsidR="00897F52" w:rsidRPr="00897F52" w:rsidRDefault="00897F52">
      <w:pPr>
        <w:rPr>
          <w:b/>
        </w:rPr>
      </w:pPr>
      <w:r w:rsidRPr="00897F52">
        <w:rPr>
          <w:b/>
        </w:rPr>
        <w:t>8. References</w:t>
      </w:r>
    </w:p>
    <w:p w14:paraId="321E68B9" w14:textId="77777777" w:rsidR="00897F52" w:rsidRDefault="00897F52">
      <w:r>
        <w:t>• BDAG (Bauer, Danker, Arndt, Gingrich)</w:t>
      </w:r>
    </w:p>
    <w:p w14:paraId="628515B2" w14:textId="77777777" w:rsidR="00897F52" w:rsidRDefault="00897F52">
      <w:r>
        <w:t>• Thayer's Greek-English Lexicon of the New Testament</w:t>
      </w:r>
    </w:p>
    <w:p w14:paraId="558C19C5" w14:textId="77777777" w:rsidR="00897F52" w:rsidRDefault="00897F52">
      <w:r>
        <w:t>• Vine's Expository Dictionary of New Testament Words</w:t>
      </w:r>
    </w:p>
    <w:p w14:paraId="07A76213" w14:textId="77777777" w:rsidR="00897F52" w:rsidRDefault="00897F52">
      <w:r>
        <w:t>• Theological Dictionary of the New Testament (TDNT)</w:t>
      </w:r>
    </w:p>
    <w:p w14:paraId="4230D725" w14:textId="3B6A17B1" w:rsidR="004C5552" w:rsidRDefault="00897F5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F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7F5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67EB"/>
  <w15:chartTrackingRefBased/>
  <w15:docId w15:val="{C7D93CBB-9C6C-480F-8040-8FF37392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7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7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F52"/>
    <w:rPr>
      <w:rFonts w:eastAsiaTheme="majorEastAsia" w:cstheme="majorBidi"/>
      <w:color w:val="272727" w:themeColor="text1" w:themeTint="D8"/>
    </w:rPr>
  </w:style>
  <w:style w:type="paragraph" w:styleId="Title">
    <w:name w:val="Title"/>
    <w:basedOn w:val="Normal"/>
    <w:next w:val="Normal"/>
    <w:link w:val="TitleChar"/>
    <w:uiPriority w:val="10"/>
    <w:qFormat/>
    <w:rsid w:val="00897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F52"/>
    <w:pPr>
      <w:spacing w:before="160"/>
      <w:jc w:val="center"/>
    </w:pPr>
    <w:rPr>
      <w:i/>
      <w:iCs/>
      <w:color w:val="404040" w:themeColor="text1" w:themeTint="BF"/>
    </w:rPr>
  </w:style>
  <w:style w:type="character" w:customStyle="1" w:styleId="QuoteChar">
    <w:name w:val="Quote Char"/>
    <w:basedOn w:val="DefaultParagraphFont"/>
    <w:link w:val="Quote"/>
    <w:uiPriority w:val="29"/>
    <w:rsid w:val="00897F52"/>
    <w:rPr>
      <w:i/>
      <w:iCs/>
      <w:color w:val="404040" w:themeColor="text1" w:themeTint="BF"/>
    </w:rPr>
  </w:style>
  <w:style w:type="paragraph" w:styleId="ListParagraph">
    <w:name w:val="List Paragraph"/>
    <w:basedOn w:val="Normal"/>
    <w:uiPriority w:val="34"/>
    <w:qFormat/>
    <w:rsid w:val="00897F52"/>
    <w:pPr>
      <w:ind w:left="720"/>
      <w:contextualSpacing/>
    </w:pPr>
  </w:style>
  <w:style w:type="character" w:styleId="IntenseEmphasis">
    <w:name w:val="Intense Emphasis"/>
    <w:basedOn w:val="DefaultParagraphFont"/>
    <w:uiPriority w:val="21"/>
    <w:qFormat/>
    <w:rsid w:val="00897F52"/>
    <w:rPr>
      <w:i/>
      <w:iCs/>
      <w:color w:val="2E74B5" w:themeColor="accent1" w:themeShade="BF"/>
    </w:rPr>
  </w:style>
  <w:style w:type="paragraph" w:styleId="IntenseQuote">
    <w:name w:val="Intense Quote"/>
    <w:basedOn w:val="Normal"/>
    <w:next w:val="Normal"/>
    <w:link w:val="IntenseQuoteChar"/>
    <w:uiPriority w:val="30"/>
    <w:qFormat/>
    <w:rsid w:val="00897F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7F52"/>
    <w:rPr>
      <w:i/>
      <w:iCs/>
      <w:color w:val="2E74B5" w:themeColor="accent1" w:themeShade="BF"/>
    </w:rPr>
  </w:style>
  <w:style w:type="character" w:styleId="IntenseReference">
    <w:name w:val="Intense Reference"/>
    <w:basedOn w:val="DefaultParagraphFont"/>
    <w:uiPriority w:val="32"/>
    <w:qFormat/>
    <w:rsid w:val="00897F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4185</Characters>
  <Application>Microsoft Office Word</Application>
  <DocSecurity>0</DocSecurity>
  <Lines>80</Lines>
  <Paragraphs>43</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