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709EA" w14:textId="77777777" w:rsidR="004173CC" w:rsidRPr="004173CC" w:rsidRDefault="004173CC">
      <w:pPr>
        <w:rPr>
          <w:b/>
        </w:rPr>
      </w:pPr>
      <w:r w:rsidRPr="004173CC">
        <w:rPr>
          <w:b/>
        </w:rPr>
        <w:t>FLESH - ( sarx , Strong's G4561 )</w:t>
      </w:r>
    </w:p>
    <w:p w14:paraId="644AC49B" w14:textId="77777777" w:rsidR="004173CC" w:rsidRDefault="004173CC">
      <w:r w:rsidRPr="004173CC">
        <w:rPr>
          <w:b/>
        </w:rPr>
        <w:t>Summary:</w:t>
      </w:r>
    </w:p>
    <w:p w14:paraId="6E102CA8" w14:textId="77777777" w:rsidR="004173CC" w:rsidRDefault="004173CC">
      <w:r>
        <w:t>In the New Testament, sarx fundamentally refers to the physical material of a living body. However, the Apostle Paul elevates this word into a profound theological concept. In the context of Galatians 5:13, sarx does not mean physical skin and muscle, but rather the fallen, unredeemed human nature. It is the seat of sinful desires, completely corrupted by the fall, inherently hostile to God, and bent on self-gratification. Paul warns believers not to turn their glorious, Spirit-wrought freedom from the Law into a staging ground for this lingering sinful nature to operate.</w:t>
      </w:r>
    </w:p>
    <w:p w14:paraId="4D62B79A" w14:textId="77777777" w:rsidR="004173CC" w:rsidRDefault="004173CC"/>
    <w:p w14:paraId="76F1D07C" w14:textId="77777777" w:rsidR="004173CC" w:rsidRDefault="004173CC">
      <w:r w:rsidRPr="004173CC">
        <w:rPr>
          <w:b/>
        </w:rPr>
        <w:t>Full Study:</w:t>
      </w:r>
    </w:p>
    <w:p w14:paraId="3EAFAA4B" w14:textId="77777777" w:rsidR="004173CC" w:rsidRDefault="004173CC"/>
    <w:p w14:paraId="42F6E631" w14:textId="77777777" w:rsidR="004173CC" w:rsidRPr="004173CC" w:rsidRDefault="004173CC">
      <w:pPr>
        <w:rPr>
          <w:b/>
        </w:rPr>
      </w:pPr>
      <w:r w:rsidRPr="004173CC">
        <w:rPr>
          <w:b/>
        </w:rPr>
        <w:t>1. Word Picture / Background</w:t>
      </w:r>
    </w:p>
    <w:p w14:paraId="08E8C4D6" w14:textId="77777777" w:rsidR="004173CC" w:rsidRDefault="004173CC">
      <w:r>
        <w:t>• In ancient Greek literature, sarx was a thoroughly physical term. It described the meat of an animal, the muscular tissue of a human, or the physical substance of the body as distinct from the bones or the soul.</w:t>
      </w:r>
    </w:p>
    <w:p w14:paraId="531B09BA" w14:textId="77777777" w:rsidR="004173CC" w:rsidRDefault="004173CC">
      <w:r>
        <w:t>• In the Old Testament (translated in the Septuagint), it often denoted human frailty and mortality—the reality that mankind is temporary and weak compared to the eternal God.</w:t>
      </w:r>
    </w:p>
    <w:p w14:paraId="11F39CBC" w14:textId="77777777" w:rsidR="004173CC" w:rsidRDefault="004173CC">
      <w:r>
        <w:t>• In the New Testament, while it retains its physical meaning in some contexts, it takes on a deeply moral and spiritual dimension. It becomes a personified force—an inward enemy that actively rebels against the Spirit of God.</w:t>
      </w:r>
    </w:p>
    <w:p w14:paraId="6077FDA2" w14:textId="77777777" w:rsidR="004173CC" w:rsidRDefault="004173CC"/>
    <w:p w14:paraId="164224D9" w14:textId="77777777" w:rsidR="004173CC" w:rsidRPr="004173CC" w:rsidRDefault="004173CC">
      <w:pPr>
        <w:rPr>
          <w:b/>
        </w:rPr>
      </w:pPr>
      <w:r w:rsidRPr="004173CC">
        <w:rPr>
          <w:b/>
        </w:rPr>
        <w:t>2. Meaning / Lexical Definition</w:t>
      </w:r>
    </w:p>
    <w:p w14:paraId="5D74AC0E" w14:textId="77777777" w:rsidR="004173CC" w:rsidRDefault="004173CC">
      <w:r>
        <w:t>• Physical Body / Humanity: The material substance of a human or animal, or human ancestry and earthly descent (e.g., Jesus being born of the seed of David "according to the flesh").</w:t>
      </w:r>
    </w:p>
    <w:p w14:paraId="228305DD" w14:textId="77777777" w:rsidR="004173CC" w:rsidRDefault="004173CC">
      <w:r>
        <w:t>• Human Limitations: The frailty, weakness, and vulnerability of being a human being living in a fallen world.</w:t>
      </w:r>
    </w:p>
    <w:p w14:paraId="3BE414B6" w14:textId="77777777" w:rsidR="004173CC" w:rsidRDefault="004173CC">
      <w:r>
        <w:t>• Fallen Human Nature (Theological): The total capacity of a person to oppose God. It is the unregenerate state of humanity, characterized by a fundamental allegiance to self rather than God. In believers, it is the lingering residue of the old life that remains active and must be continually put to death.</w:t>
      </w:r>
    </w:p>
    <w:p w14:paraId="42E0180C" w14:textId="77777777" w:rsidR="004173CC" w:rsidRDefault="004173CC"/>
    <w:p w14:paraId="75B31358" w14:textId="77777777" w:rsidR="004173CC" w:rsidRPr="004173CC" w:rsidRDefault="004173CC">
      <w:pPr>
        <w:rPr>
          <w:b/>
        </w:rPr>
      </w:pPr>
      <w:r w:rsidRPr="004173CC">
        <w:rPr>
          <w:b/>
        </w:rPr>
        <w:t>3. Usage and Word Pictures</w:t>
      </w:r>
    </w:p>
    <w:p w14:paraId="6CADE419" w14:textId="77777777" w:rsidR="004173CC" w:rsidRDefault="004173CC">
      <w:r>
        <w:t>• Paul often sets up a vivid, uncompromising dichotomy between the "flesh" (sarx) and the "Spirit" (pneuma). They represent two entirely different realms of existence, two different masters, and two different sources of power.</w:t>
      </w:r>
    </w:p>
    <w:p w14:paraId="6BE88DA6" w14:textId="77777777" w:rsidR="004173CC" w:rsidRDefault="004173CC">
      <w:r>
        <w:t>• In Galatians 5:13, the warning is against using liberty as an "opportunity" (aphormē) for the flesh. The word aphormē is a military term referring to a base of operations or a beachhead. The imagery is powerful: the flesh is an opportunistic enemy looking for a landing zone in the believer's life. If grace and liberty are twisted into a license to sin, the flesh establishes a beachhead from which to wage war against the soul.</w:t>
      </w:r>
    </w:p>
    <w:p w14:paraId="30ECC357" w14:textId="77777777" w:rsidR="004173CC" w:rsidRDefault="004173CC"/>
    <w:p w14:paraId="7D69E0B6" w14:textId="77777777" w:rsidR="004173CC" w:rsidRPr="004173CC" w:rsidRDefault="004173CC">
      <w:pPr>
        <w:rPr>
          <w:b/>
        </w:rPr>
      </w:pPr>
      <w:r w:rsidRPr="004173CC">
        <w:rPr>
          <w:b/>
        </w:rPr>
        <w:t>4. Theological Implications</w:t>
      </w:r>
    </w:p>
    <w:p w14:paraId="2F9280BD" w14:textId="77777777" w:rsidR="004173CC" w:rsidRDefault="004173CC">
      <w:r>
        <w:t>• The concept of sarx explains the ongoing spiritual warfare in the life of a Christian. While believers are given a new heart and the indwelling Holy Spirit, the flesh remains present until glorification.</w:t>
      </w:r>
    </w:p>
    <w:p w14:paraId="18CA34AC" w14:textId="77777777" w:rsidR="004173CC" w:rsidRDefault="004173CC">
      <w:r>
        <w:t>• The flesh is entirely beyond repair. It cannot be reformed, educated, or disciplined into godliness; it can only be crucified (Galatians 5:24).</w:t>
      </w:r>
    </w:p>
    <w:p w14:paraId="4EEA6E99" w14:textId="77777777" w:rsidR="004173CC" w:rsidRDefault="004173CC">
      <w:r>
        <w:t>• Legalism (trying to obey rules in human strength) and antinomianism (using grace as a license to sin) are both products of the flesh. True spiritual life operates on an entirely different plane—walking by the Spirit.</w:t>
      </w:r>
    </w:p>
    <w:p w14:paraId="64B869B4" w14:textId="77777777" w:rsidR="004173CC" w:rsidRDefault="004173CC"/>
    <w:p w14:paraId="74905132" w14:textId="77777777" w:rsidR="004173CC" w:rsidRPr="004173CC" w:rsidRDefault="004173CC">
      <w:pPr>
        <w:rPr>
          <w:b/>
        </w:rPr>
      </w:pPr>
      <w:r w:rsidRPr="004173CC">
        <w:rPr>
          <w:b/>
        </w:rPr>
        <w:t>5. Contextual Nuance in the Passage</w:t>
      </w:r>
    </w:p>
    <w:p w14:paraId="17D12E41" w14:textId="77777777" w:rsidR="004173CC" w:rsidRDefault="004173CC">
      <w:r>
        <w:t>• In Galatians 5, Paul is defending Christian liberty against false teachers who wanted to drag believers back under the Mosaic Law (legalism). However, knowing human nature, Paul anticipates a secondary danger: believers might think freedom from the Law means freedom to do whatever their fallen nature desires.</w:t>
      </w:r>
    </w:p>
    <w:p w14:paraId="5B71B311" w14:textId="77777777" w:rsidR="004173CC" w:rsidRDefault="004173CC">
      <w:r>
        <w:t>• Paul explicitly commands that liberty must not become a staging ground for the sarx. Instead, the antidote to fleshly indulgence is provided in the same verse: "through love serve one another." The flesh is entirely self-centered; walking in the Spirit is inherently self-giving.</w:t>
      </w:r>
    </w:p>
    <w:p w14:paraId="05DC659C" w14:textId="77777777" w:rsidR="004173CC" w:rsidRDefault="004173CC"/>
    <w:p w14:paraId="7BAB6C87" w14:textId="77777777" w:rsidR="004173CC" w:rsidRPr="004173CC" w:rsidRDefault="004173CC">
      <w:pPr>
        <w:rPr>
          <w:b/>
        </w:rPr>
      </w:pPr>
      <w:r w:rsidRPr="004173CC">
        <w:rPr>
          <w:b/>
        </w:rPr>
        <w:t>6. Key Uses in Other Verses (NKJV)</w:t>
      </w:r>
    </w:p>
    <w:p w14:paraId="10FFF209" w14:textId="77777777" w:rsidR="004173CC" w:rsidRDefault="004173CC">
      <w:r>
        <w:t>• Romans 7:18 – "For I know that in me (that is, in my flesh) nothing good dwells; for to will is present with me, but how to perform what is good I do not find." (Highlights the total depravity of the fallen nature).</w:t>
      </w:r>
    </w:p>
    <w:p w14:paraId="65344652" w14:textId="77777777" w:rsidR="004173CC" w:rsidRDefault="004173CC">
      <w:r>
        <w:t>• Romans 8:8 – "So then, those who are in the flesh cannot please God." (Refers to the state of an unregenerate person).</w:t>
      </w:r>
    </w:p>
    <w:p w14:paraId="13E19ADE" w14:textId="77777777" w:rsidR="004173CC" w:rsidRDefault="004173CC">
      <w:r>
        <w:t>• Galatians 5:17 – "For the flesh lusts against the Spirit, and the Spirit against the flesh; and these are contrary to one another, so that you do not do the things that you wish." (Describes the internal war within the believer).</w:t>
      </w:r>
    </w:p>
    <w:p w14:paraId="5E83F6A2" w14:textId="77777777" w:rsidR="004173CC" w:rsidRDefault="004173CC">
      <w:r>
        <w:t>• John 1:14 – "And the Word became flesh and dwelt among us..." (Uses the physical, non-sinful nuance of the word to declare the reality of Christ's incarnation).</w:t>
      </w:r>
    </w:p>
    <w:p w14:paraId="2667806F" w14:textId="77777777" w:rsidR="004173CC" w:rsidRDefault="004173CC"/>
    <w:p w14:paraId="60600934" w14:textId="77777777" w:rsidR="004173CC" w:rsidRPr="004173CC" w:rsidRDefault="004173CC">
      <w:pPr>
        <w:rPr>
          <w:b/>
        </w:rPr>
      </w:pPr>
      <w:r w:rsidRPr="004173CC">
        <w:rPr>
          <w:b/>
        </w:rPr>
        <w:t>7. Other Relevant Insights</w:t>
      </w:r>
    </w:p>
    <w:p w14:paraId="4A715E7D" w14:textId="77777777" w:rsidR="004173CC" w:rsidRDefault="004173CC">
      <w:r>
        <w:t>• Pastoral application requires recognizing that the flesh is highly deceptive. It does not only produce obvious, scandalous sins (like immorality or drunkenness); it also produces "respectable" sins like pride, jealousy, selfish ambition, and religious self-righteousness.</w:t>
      </w:r>
    </w:p>
    <w:p w14:paraId="05BB5F0E" w14:textId="77777777" w:rsidR="004173CC" w:rsidRDefault="004173CC">
      <w:r>
        <w:t>• Because the flesh turns "liberty" into an excuse for self-indulgence, the Christian's defense is not to return to the bondage of the Law, but to actively yield to the Holy Spirit in a posture of serving others.</w:t>
      </w:r>
    </w:p>
    <w:p w14:paraId="571C83B8" w14:textId="77777777" w:rsidR="004173CC" w:rsidRDefault="004173CC"/>
    <w:p w14:paraId="276B56F9" w14:textId="77777777" w:rsidR="004173CC" w:rsidRPr="004173CC" w:rsidRDefault="004173CC">
      <w:pPr>
        <w:rPr>
          <w:b/>
        </w:rPr>
      </w:pPr>
      <w:r w:rsidRPr="004173CC">
        <w:rPr>
          <w:b/>
        </w:rPr>
        <w:t>8. References</w:t>
      </w:r>
    </w:p>
    <w:p w14:paraId="454FF6F6" w14:textId="77777777" w:rsidR="004173CC" w:rsidRDefault="004173CC">
      <w:r>
        <w:t>• Bauer, W., Danker, F. W., Arndt, W. F., &amp; Gingrich, F. W. (BDAG), A Greek-English Lexicon of the New Testament and Other Early Christian Literature</w:t>
      </w:r>
    </w:p>
    <w:p w14:paraId="4C1CD22C" w14:textId="77777777" w:rsidR="004173CC" w:rsidRDefault="004173CC">
      <w:r>
        <w:t>• Kittel, G., Friedrich, G., &amp; Bromiley, G. W. (TDNT), Theological Dictionary of the New Testament</w:t>
      </w:r>
    </w:p>
    <w:p w14:paraId="0CC432C8" w14:textId="77777777" w:rsidR="004173CC" w:rsidRDefault="004173CC">
      <w:r>
        <w:t>• Vine, W. E., Vine's Complete Expository Dictionary of Old and New Testament Words</w:t>
      </w:r>
    </w:p>
    <w:p w14:paraId="2DE8B935" w14:textId="5DDCEBEF" w:rsidR="004C5552" w:rsidRDefault="004173CC">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73C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BAB09"/>
  <w15:chartTrackingRefBased/>
  <w15:docId w15:val="{906242AF-1D70-49B5-8C10-3FE9A32EE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7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7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3CC"/>
    <w:rPr>
      <w:rFonts w:eastAsiaTheme="majorEastAsia" w:cstheme="majorBidi"/>
      <w:color w:val="272727" w:themeColor="text1" w:themeTint="D8"/>
    </w:rPr>
  </w:style>
  <w:style w:type="paragraph" w:styleId="Title">
    <w:name w:val="Title"/>
    <w:basedOn w:val="Normal"/>
    <w:next w:val="Normal"/>
    <w:link w:val="TitleChar"/>
    <w:uiPriority w:val="10"/>
    <w:qFormat/>
    <w:rsid w:val="00417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3CC"/>
    <w:pPr>
      <w:spacing w:before="160"/>
      <w:jc w:val="center"/>
    </w:pPr>
    <w:rPr>
      <w:i/>
      <w:iCs/>
      <w:color w:val="404040" w:themeColor="text1" w:themeTint="BF"/>
    </w:rPr>
  </w:style>
  <w:style w:type="character" w:customStyle="1" w:styleId="QuoteChar">
    <w:name w:val="Quote Char"/>
    <w:basedOn w:val="DefaultParagraphFont"/>
    <w:link w:val="Quote"/>
    <w:uiPriority w:val="29"/>
    <w:rsid w:val="004173CC"/>
    <w:rPr>
      <w:i/>
      <w:iCs/>
      <w:color w:val="404040" w:themeColor="text1" w:themeTint="BF"/>
    </w:rPr>
  </w:style>
  <w:style w:type="paragraph" w:styleId="ListParagraph">
    <w:name w:val="List Paragraph"/>
    <w:basedOn w:val="Normal"/>
    <w:uiPriority w:val="34"/>
    <w:qFormat/>
    <w:rsid w:val="004173CC"/>
    <w:pPr>
      <w:ind w:left="720"/>
      <w:contextualSpacing/>
    </w:pPr>
  </w:style>
  <w:style w:type="character" w:styleId="IntenseEmphasis">
    <w:name w:val="Intense Emphasis"/>
    <w:basedOn w:val="DefaultParagraphFont"/>
    <w:uiPriority w:val="21"/>
    <w:qFormat/>
    <w:rsid w:val="004173CC"/>
    <w:rPr>
      <w:i/>
      <w:iCs/>
      <w:color w:val="2E74B5" w:themeColor="accent1" w:themeShade="BF"/>
    </w:rPr>
  </w:style>
  <w:style w:type="paragraph" w:styleId="IntenseQuote">
    <w:name w:val="Intense Quote"/>
    <w:basedOn w:val="Normal"/>
    <w:next w:val="Normal"/>
    <w:link w:val="IntenseQuoteChar"/>
    <w:uiPriority w:val="30"/>
    <w:qFormat/>
    <w:rsid w:val="004173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73CC"/>
    <w:rPr>
      <w:i/>
      <w:iCs/>
      <w:color w:val="2E74B5" w:themeColor="accent1" w:themeShade="BF"/>
    </w:rPr>
  </w:style>
  <w:style w:type="character" w:styleId="IntenseReference">
    <w:name w:val="Intense Reference"/>
    <w:basedOn w:val="DefaultParagraphFont"/>
    <w:uiPriority w:val="32"/>
    <w:qFormat/>
    <w:rsid w:val="004173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892</Words>
  <Characters>4644</Characters>
  <Application>Microsoft Office Word</Application>
  <DocSecurity>0</DocSecurity>
  <Lines>89</Lines>
  <Paragraphs>48</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