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3505D7D9" w14:textId="77777777" w:rsidR="003047AB" w:rsidRPr="003047AB" w:rsidRDefault="003047AB">
      <w:pPr>
        <w:rPr>
          <w:b/>
        </w:rPr>
      </w:pPr>
      <w:r w:rsidRPr="003047AB">
        <w:rPr>
          <w:b/>
        </w:rPr>
        <w:t>WINNOWING FAN - ( ptuon , Strong's G4425 )</w:t>
      </w:r>
    </w:p>
    <w:p w14:paraId="11AA045D" w14:textId="77777777" w:rsidR="003047AB" w:rsidRDefault="003047AB">
      <w:r w:rsidRPr="003047AB">
        <w:rPr>
          <w:b/>
        </w:rPr>
        <w:t>Summary:</w:t>
      </w:r>
    </w:p>
    <w:p w14:paraId="21FB0D37" w14:textId="77777777" w:rsidR="003047AB" w:rsidRDefault="003047AB">
      <w:r>
        <w:t>The "winnowing fan" (Greek ptuon) refers to a wooden agricultural fork or shovel used to toss threshed grain into the air, allowing the wind to blow away the light, useless chaff while the heavy, valuable wheat falls back to the ground. In the preaching of John the Baptist, this imagery depicts the Messiah’s decisive, separation-oriented judgment, where He will thoroughly distinguish true believers from hypocrites and unbelievers.</w:t>
      </w:r>
    </w:p>
    <w:p w14:paraId="47DFB48C" w14:textId="77777777" w:rsidR="003047AB" w:rsidRDefault="003047AB"/>
    <w:p w14:paraId="5C6F73D9" w14:textId="77777777" w:rsidR="003047AB" w:rsidRDefault="003047AB">
      <w:r w:rsidRPr="003047AB">
        <w:rPr>
          <w:b/>
        </w:rPr>
        <w:t>Full Study:</w:t>
      </w:r>
    </w:p>
    <w:p w14:paraId="603FFAAC" w14:textId="77777777" w:rsidR="003047AB" w:rsidRDefault="003047AB"/>
    <w:p w14:paraId="58F57D72" w14:textId="77777777" w:rsidR="003047AB" w:rsidRPr="003047AB" w:rsidRDefault="003047AB">
      <w:pPr>
        <w:rPr>
          <w:b/>
        </w:rPr>
      </w:pPr>
      <w:r w:rsidRPr="003047AB">
        <w:rPr>
          <w:b/>
        </w:rPr>
        <w:t xml:space="preserve"> 1. Word Picture / Background</w:t>
      </w:r>
    </w:p>
    <w:p w14:paraId="73DAFFE6" w14:textId="77777777" w:rsidR="003047AB" w:rsidRDefault="003047AB">
      <w:r>
        <w:t xml:space="preserve">In ancient Near Eastern agriculture, the harvesting process culminated on the threshing floor—a flat, elevated, hardened circular plot of ground situated to catch the evening breeze. After the harvest, stalks of wheat were trampled by oxen or dragged under heavy sledges to loosen the grain from its protective outer husk (the chaff). </w:t>
      </w:r>
    </w:p>
    <w:p w14:paraId="6DE84EFB" w14:textId="77777777" w:rsidR="003047AB" w:rsidRDefault="003047AB"/>
    <w:p w14:paraId="003B80AC" w14:textId="77777777" w:rsidR="003047AB" w:rsidRDefault="003047AB">
      <w:r>
        <w:t xml:space="preserve">Once the crop was crushed, the farmer used a ptuon, which was a broad, multi-pronged wooden fork or a wide wooden shovel. The farmer would scoop up the mingled pile of wheat and chaff and throw it high into the air against the wind. The heavy, substantive grain fell straight back to the threshing floor, while the lighter, worthless chaff was blown aside into a separate pile. The grain was then gathered into the barn for food, and the chaff was swept up and burned so it would not contaminate the purified wheat. </w:t>
      </w:r>
    </w:p>
    <w:p w14:paraId="48FD53B0" w14:textId="77777777" w:rsidR="003047AB" w:rsidRDefault="003047AB"/>
    <w:p w14:paraId="0F20C21A" w14:textId="77777777" w:rsidR="003047AB" w:rsidRPr="003047AB" w:rsidRDefault="003047AB">
      <w:pPr>
        <w:rPr>
          <w:b/>
        </w:rPr>
      </w:pPr>
      <w:r w:rsidRPr="003047AB">
        <w:rPr>
          <w:b/>
        </w:rPr>
        <w:t xml:space="preserve"> 2. Meaning / Lexical Definition</w:t>
      </w:r>
    </w:p>
    <w:p w14:paraId="6FE24022" w14:textId="77777777" w:rsidR="003047AB" w:rsidRDefault="003047AB">
      <w:r>
        <w:t xml:space="preserve">The Greek noun ptuon refers to a winnowing shovel or winnowing fork. Although translated as "fan" in older English versions like the KJV and NKJV, it does not refer to an instrument that blows air. Instead, it is the tool used to lift and scatter the grain into a natural wind. </w:t>
      </w:r>
    </w:p>
    <w:p w14:paraId="3DF8E1A6" w14:textId="77777777" w:rsidR="003047AB" w:rsidRDefault="003047AB"/>
    <w:p w14:paraId="446F9066" w14:textId="77777777" w:rsidR="003047AB" w:rsidRDefault="003047AB">
      <w:r>
        <w:t>Lexically, the word represents an instrument of separation. It is the tool by which a mixture of valuable and worthless substances is definitively sorted.</w:t>
      </w:r>
    </w:p>
    <w:p w14:paraId="29309A51" w14:textId="77777777" w:rsidR="003047AB" w:rsidRDefault="003047AB"/>
    <w:p w14:paraId="42BFCCFC" w14:textId="77777777" w:rsidR="003047AB" w:rsidRPr="003047AB" w:rsidRDefault="003047AB">
      <w:pPr>
        <w:rPr>
          <w:b/>
        </w:rPr>
      </w:pPr>
      <w:r w:rsidRPr="003047AB">
        <w:rPr>
          <w:b/>
        </w:rPr>
        <w:t xml:space="preserve"> 3. Usage and Word Pictures</w:t>
      </w:r>
    </w:p>
    <w:p w14:paraId="550E408B" w14:textId="77777777" w:rsidR="003047AB" w:rsidRDefault="003047AB">
      <w:r>
        <w:t xml:space="preserve">In the New Testament, ptuon appears only twice, both times in the parallel accounts of John the Baptist's wilderness preaching. John uses this agricultural metaphor to describe the nature of the Messiah's ministry. </w:t>
      </w:r>
    </w:p>
    <w:p w14:paraId="0706E379" w14:textId="77777777" w:rsidR="003047AB" w:rsidRDefault="003047AB"/>
    <w:p w14:paraId="748A1473" w14:textId="77777777" w:rsidR="003047AB" w:rsidRDefault="003047AB">
      <w:r>
        <w:t>The word picture is intensely active. The Messiah is not depicted as standing passively; rather, the winnowing tool is already "in His hand." The implication is that the process of judgment and separation is imminent, prepared, and will be executed with perfect, absolute precision.</w:t>
      </w:r>
    </w:p>
    <w:p w14:paraId="4E15295E" w14:textId="77777777" w:rsidR="003047AB" w:rsidRDefault="003047AB"/>
    <w:p w14:paraId="787FFDC5" w14:textId="77777777" w:rsidR="003047AB" w:rsidRPr="003047AB" w:rsidRDefault="003047AB">
      <w:pPr>
        <w:rPr>
          <w:b/>
        </w:rPr>
      </w:pPr>
      <w:r w:rsidRPr="003047AB">
        <w:rPr>
          <w:b/>
        </w:rPr>
        <w:t xml:space="preserve"> 4. Theological Implications</w:t>
      </w:r>
    </w:p>
    <w:p w14:paraId="5C82A349" w14:textId="77777777" w:rsidR="003047AB" w:rsidRDefault="003047AB">
      <w:r>
        <w:t>• The Inevitability of Separation: The church and the world, the true believer and the hypocrite, often exist in close proximity—much like wheat and chaff on the threshing floor. However, a day of ultimate separation is decreed.</w:t>
      </w:r>
    </w:p>
    <w:p w14:paraId="3F180574" w14:textId="77777777" w:rsidR="003047AB" w:rsidRDefault="003047AB">
      <w:r>
        <w:t>• The Precision of Divine Judgment: God’s judgment is not arbitrary. Just as gravity and wind act naturally upon the different weights of grain and chaff, Christ’s holiness and truth will perfectly separate those who have substance (faith and fruit) from those who are spiritually hollow.</w:t>
      </w:r>
    </w:p>
    <w:p w14:paraId="601D589D" w14:textId="77777777" w:rsidR="003047AB" w:rsidRDefault="003047AB">
      <w:r>
        <w:t>• The Destiny of the Two Groups: The wheat is gathered into the safety of the barn (representing eternal life and the kingdom of God), while the chaff is committed to unquenchable fire (representing eternal condemnation).</w:t>
      </w:r>
    </w:p>
    <w:p w14:paraId="1879A213" w14:textId="77777777" w:rsidR="003047AB" w:rsidRDefault="003047AB">
      <w:r>
        <w:t>• Christ as the Ultimate Judge: The winnowing tool belongs to Jesus. God has committed all judgment to the Son, who possesses the absolute authority and perfect knowledge required to clean His threshing floor.</w:t>
      </w:r>
    </w:p>
    <w:p w14:paraId="2119439C" w14:textId="77777777" w:rsidR="003047AB" w:rsidRDefault="003047AB"/>
    <w:p w14:paraId="75CDDBCE" w14:textId="77777777" w:rsidR="003047AB" w:rsidRPr="003047AB" w:rsidRDefault="003047AB">
      <w:pPr>
        <w:rPr>
          <w:b/>
        </w:rPr>
      </w:pPr>
      <w:r w:rsidRPr="003047AB">
        <w:rPr>
          <w:b/>
        </w:rPr>
        <w:t xml:space="preserve"> 5. Contextual Nuance in the Passage</w:t>
      </w:r>
    </w:p>
    <w:p w14:paraId="6E169E20" w14:textId="77777777" w:rsidR="003047AB" w:rsidRDefault="003047AB">
      <w:r>
        <w:t xml:space="preserve">In Matthew 3:12, John the Baptist is addressing a crowd that includes Pharisees and Sadducees. These religious leaders assumed that their physical lineage as children of Abraham guaranteed their security in God's kingdom. </w:t>
      </w:r>
    </w:p>
    <w:p w14:paraId="14B8372F" w14:textId="77777777" w:rsidR="003047AB" w:rsidRDefault="003047AB"/>
    <w:p w14:paraId="3FC755BB" w14:textId="77777777" w:rsidR="003047AB" w:rsidRDefault="003047AB">
      <w:r>
        <w:t>John uses the metaphor of the ptuon to shatter this false confidence. He warns them that pedigree does not equal fruitfulness. The Messiah is coming to evaluate the spiritual reality of every individual. On the threshing floor of Israel, those without genuine repentance and faith will be exposed as weightless chaff, regardless of their religious status, and will be swept into judgment.</w:t>
      </w:r>
    </w:p>
    <w:p w14:paraId="32B95998" w14:textId="77777777" w:rsidR="003047AB" w:rsidRDefault="003047AB"/>
    <w:p w14:paraId="502B65C1" w14:textId="77777777" w:rsidR="003047AB" w:rsidRPr="003047AB" w:rsidRDefault="003047AB">
      <w:pPr>
        <w:rPr>
          <w:b/>
        </w:rPr>
      </w:pPr>
      <w:r w:rsidRPr="003047AB">
        <w:rPr>
          <w:b/>
        </w:rPr>
        <w:t xml:space="preserve"> 6. Key Uses in Other Verses (NKJV)</w:t>
      </w:r>
    </w:p>
    <w:p w14:paraId="3898005F" w14:textId="77777777" w:rsidR="003047AB" w:rsidRDefault="003047AB">
      <w:r>
        <w:t>• Matthew 3:12: "His winnowing fan is in His hand, and He will thoroughly clean His threshing floor, and gather His wheat into the barn; but He will burn up the chaff with unquenchable fire."</w:t>
      </w:r>
    </w:p>
    <w:p w14:paraId="6F744063" w14:textId="77777777" w:rsidR="003047AB" w:rsidRDefault="003047AB">
      <w:r>
        <w:t>• Luke 3:17: "His winnowing fan is in His hand, and He will thoroughly clean His threshing floor, and gather the wheat into His barn; but the chaff He will burn with unquenchable fire."</w:t>
      </w:r>
    </w:p>
    <w:p w14:paraId="2ACDC921" w14:textId="77777777" w:rsidR="003047AB" w:rsidRDefault="003047AB"/>
    <w:p w14:paraId="1286E02B" w14:textId="77777777" w:rsidR="003047AB" w:rsidRPr="003047AB" w:rsidRDefault="003047AB">
      <w:pPr>
        <w:rPr>
          <w:b/>
        </w:rPr>
      </w:pPr>
      <w:r w:rsidRPr="003047AB">
        <w:rPr>
          <w:b/>
        </w:rPr>
        <w:t xml:space="preserve"> 7. Other Relevant Insights</w:t>
      </w:r>
    </w:p>
    <w:p w14:paraId="6BB75C15" w14:textId="77777777" w:rsidR="003047AB" w:rsidRDefault="003047AB">
      <w:r>
        <w:t>• The phrase "thoroughly clean" (Greek diakatharizo) in Matthew 3:12 means to cleanse completely or purge thoroughly. This indicates that Christ will leave no chaff mingled with the wheat; the separation will be flawless.</w:t>
      </w:r>
    </w:p>
    <w:p w14:paraId="194288E5" w14:textId="77777777" w:rsidR="003047AB" w:rsidRDefault="003047AB">
      <w:r>
        <w:t>• In the Old Testament, the wind blowing away the chaff is a frequent metaphor for the destruction of the ungodly (Psalm 1:4; Isaiah 17:13; Hosea 13:3). The use of the ptuon in the New Testament builds directly on this established prophetic imagery.</w:t>
      </w:r>
    </w:p>
    <w:p w14:paraId="61918CA1" w14:textId="77777777" w:rsidR="003047AB" w:rsidRDefault="003047AB"/>
    <w:p w14:paraId="7866C4C3" w14:textId="77777777" w:rsidR="003047AB" w:rsidRPr="003047AB" w:rsidRDefault="003047AB">
      <w:pPr>
        <w:rPr>
          <w:b/>
        </w:rPr>
      </w:pPr>
      <w:r w:rsidRPr="003047AB">
        <w:rPr>
          <w:b/>
        </w:rPr>
        <w:t xml:space="preserve"> 8. References</w:t>
      </w:r>
    </w:p>
    <w:p w14:paraId="60227D78" w14:textId="77777777" w:rsidR="003047AB" w:rsidRDefault="003047AB">
      <w:r>
        <w:t>• Arndt, W., Danker, F. W., Bauer, W., &amp; Gingrich, F. W. A Greek-English Lexicon of the New Testament and Other Early Christian Literature (BDAG).</w:t>
      </w:r>
    </w:p>
    <w:p w14:paraId="10807827" w14:textId="77777777" w:rsidR="003047AB" w:rsidRDefault="003047AB">
      <w:r>
        <w:t>• Kittel, G., Bromiley, G. W., &amp; Friedrich, G. Theological Dictionary of the New Testament (TDNT).</w:t>
      </w:r>
    </w:p>
    <w:p w14:paraId="05E64F08" w14:textId="77777777" w:rsidR="003047AB" w:rsidRDefault="003047AB">
      <w:r>
        <w:t>• Thayer, J. H. A Greek-English Lexicon of the New Testament.</w:t>
      </w:r>
    </w:p>
    <w:p w14:paraId="1C2DC25C" w14:textId="77777777" w:rsidR="003047AB" w:rsidRDefault="003047AB">
      <w:r>
        <w:t>• Blue Letter Bible Lexicon (G4425).</w:t>
      </w:r>
    </w:p>
    <w:p w14:paraId="29C30D7C" w14:textId="0AED09BE" w:rsidR="004C5552" w:rsidRDefault="003047AB">
      <w:r>
        <w:t>• MacArthur, J. The MacArthur New Testament Commentary: Matthew 1-7.</w:t>
      </w:r>
    </w:p>
    <w:sectPr w:rsidR="004C5552">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Aptos">
    <w:charset w:val="00"/>
    <w:family w:val="swiss"/>
    <w:pitch w:val="variable"/>
    <w:sig w:usb0="20000287" w:usb1="00000003" w:usb2="00000000" w:usb3="00000000" w:csb0="0000019F" w:csb1="00000000"/>
  </w:font>
  <w:font w:name="Times New Roman">
    <w:panose1 w:val="02020603050405020304"/>
    <w:charset w:val="00"/>
    <w:family w:val="roman"/>
    <w:pitch w:val="variable"/>
    <w:sig w:usb0="E0002EFF" w:usb1="C000785B" w:usb2="00000009" w:usb3="00000000" w:csb0="000001FF" w:csb1="00000000"/>
  </w:font>
  <w:font w:name="Aptos Display">
    <w:charset w:val="00"/>
    <w:family w:val="swiss"/>
    <w:pitch w:val="variable"/>
    <w:sig w:usb0="20000287" w:usb1="00000003" w:usb2="00000000" w:usb3="00000000" w:csb0="0000019F" w:csb1="00000000"/>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20"/>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3047AB"/>
    <w:rsid w:val="00017747"/>
    <w:rsid w:val="00023A4A"/>
    <w:rsid w:val="0006763F"/>
    <w:rsid w:val="000C53AC"/>
    <w:rsid w:val="00146083"/>
    <w:rsid w:val="001B2D17"/>
    <w:rsid w:val="002058F7"/>
    <w:rsid w:val="00224809"/>
    <w:rsid w:val="002357B1"/>
    <w:rsid w:val="002464EB"/>
    <w:rsid w:val="00273F8C"/>
    <w:rsid w:val="00285674"/>
    <w:rsid w:val="00286CCE"/>
    <w:rsid w:val="002A2E4C"/>
    <w:rsid w:val="002C392D"/>
    <w:rsid w:val="002C632B"/>
    <w:rsid w:val="002D6D54"/>
    <w:rsid w:val="003047AB"/>
    <w:rsid w:val="003141AA"/>
    <w:rsid w:val="003D195F"/>
    <w:rsid w:val="003E37AC"/>
    <w:rsid w:val="00404543"/>
    <w:rsid w:val="0040649C"/>
    <w:rsid w:val="004516F5"/>
    <w:rsid w:val="00462794"/>
    <w:rsid w:val="004C5552"/>
    <w:rsid w:val="004D27A9"/>
    <w:rsid w:val="00521E68"/>
    <w:rsid w:val="0057165E"/>
    <w:rsid w:val="00594655"/>
    <w:rsid w:val="005E6C17"/>
    <w:rsid w:val="0062363D"/>
    <w:rsid w:val="00637AF7"/>
    <w:rsid w:val="0068296A"/>
    <w:rsid w:val="006B520A"/>
    <w:rsid w:val="006D562B"/>
    <w:rsid w:val="006F7E0F"/>
    <w:rsid w:val="00707F07"/>
    <w:rsid w:val="00722DFD"/>
    <w:rsid w:val="00723C8B"/>
    <w:rsid w:val="00793F45"/>
    <w:rsid w:val="00795E5C"/>
    <w:rsid w:val="008355B6"/>
    <w:rsid w:val="00955C8C"/>
    <w:rsid w:val="00996458"/>
    <w:rsid w:val="009C5D02"/>
    <w:rsid w:val="00A13A16"/>
    <w:rsid w:val="00A34ACA"/>
    <w:rsid w:val="00AE095C"/>
    <w:rsid w:val="00AF1749"/>
    <w:rsid w:val="00B5256D"/>
    <w:rsid w:val="00BC7A2F"/>
    <w:rsid w:val="00BF2A14"/>
    <w:rsid w:val="00BF3376"/>
    <w:rsid w:val="00C54ADC"/>
    <w:rsid w:val="00CD5206"/>
    <w:rsid w:val="00CD5875"/>
    <w:rsid w:val="00D4513C"/>
    <w:rsid w:val="00D64377"/>
    <w:rsid w:val="00D72761"/>
    <w:rsid w:val="00D82B4E"/>
    <w:rsid w:val="00D90D97"/>
    <w:rsid w:val="00DD7A15"/>
    <w:rsid w:val="00E125AE"/>
    <w:rsid w:val="00E15FED"/>
    <w:rsid w:val="00E22019"/>
    <w:rsid w:val="00E27618"/>
    <w:rsid w:val="00E91AF3"/>
    <w:rsid w:val="00E962D1"/>
    <w:rsid w:val="00F27C22"/>
    <w:rsid w:val="00F37C9A"/>
    <w:rsid w:val="00FB2E51"/>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5CED96F1"/>
  <w15:chartTrackingRefBased/>
  <w15:docId w15:val="{D33B0E4E-C1FE-4119-B225-33740758A5AE}"/>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en-US"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CD5206"/>
  </w:style>
  <w:style w:type="paragraph" w:styleId="Heading1">
    <w:name w:val="heading 1"/>
    <w:basedOn w:val="Normal"/>
    <w:next w:val="Normal"/>
    <w:link w:val="Heading1Char"/>
    <w:autoRedefine/>
    <w:uiPriority w:val="9"/>
    <w:qFormat/>
    <w:rsid w:val="00285674"/>
    <w:pPr>
      <w:keepNext/>
      <w:keepLines/>
      <w:spacing w:before="360" w:after="80"/>
      <w:outlineLvl w:val="0"/>
    </w:pPr>
    <w:rPr>
      <w:rFonts w:asciiTheme="majorHAnsi" w:eastAsiaTheme="majorEastAsia" w:hAnsiTheme="majorHAnsi" w:cstheme="majorBidi"/>
      <w:b/>
      <w:sz w:val="32"/>
      <w:szCs w:val="40"/>
    </w:rPr>
  </w:style>
  <w:style w:type="paragraph" w:styleId="Heading2">
    <w:name w:val="heading 2"/>
    <w:basedOn w:val="Normal"/>
    <w:next w:val="Normal"/>
    <w:link w:val="Heading2Char"/>
    <w:autoRedefine/>
    <w:uiPriority w:val="9"/>
    <w:unhideWhenUsed/>
    <w:qFormat/>
    <w:rsid w:val="00285674"/>
    <w:pPr>
      <w:keepNext/>
      <w:keepLines/>
      <w:spacing w:before="160" w:after="80"/>
      <w:outlineLvl w:val="1"/>
    </w:pPr>
    <w:rPr>
      <w:rFonts w:asciiTheme="majorHAnsi" w:eastAsiaTheme="majorEastAsia" w:hAnsiTheme="majorHAnsi" w:cstheme="majorBidi"/>
      <w:b/>
      <w:color w:val="000000" w:themeColor="text1"/>
      <w:sz w:val="28"/>
      <w:szCs w:val="32"/>
    </w:rPr>
  </w:style>
  <w:style w:type="paragraph" w:styleId="Heading3">
    <w:name w:val="heading 3"/>
    <w:basedOn w:val="Normal"/>
    <w:next w:val="Normal"/>
    <w:link w:val="Heading3Char"/>
    <w:autoRedefine/>
    <w:uiPriority w:val="9"/>
    <w:unhideWhenUsed/>
    <w:qFormat/>
    <w:rsid w:val="00285674"/>
    <w:pPr>
      <w:keepNext/>
      <w:keepLines/>
      <w:spacing w:before="160" w:after="80"/>
      <w:outlineLvl w:val="2"/>
    </w:pPr>
    <w:rPr>
      <w:rFonts w:eastAsiaTheme="majorEastAsia" w:cstheme="majorBidi"/>
      <w:b/>
      <w:color w:val="000000" w:themeColor="text1"/>
      <w:szCs w:val="28"/>
    </w:rPr>
  </w:style>
  <w:style w:type="paragraph" w:styleId="Heading4">
    <w:name w:val="heading 4"/>
    <w:basedOn w:val="Normal"/>
    <w:next w:val="Normal"/>
    <w:link w:val="Heading4Char"/>
    <w:autoRedefine/>
    <w:uiPriority w:val="9"/>
    <w:semiHidden/>
    <w:unhideWhenUsed/>
    <w:qFormat/>
    <w:rsid w:val="00285674"/>
    <w:pPr>
      <w:keepNext/>
      <w:keepLines/>
      <w:spacing w:before="80" w:after="40"/>
      <w:outlineLvl w:val="3"/>
    </w:pPr>
    <w:rPr>
      <w:rFonts w:eastAsiaTheme="majorEastAsia" w:cstheme="majorBidi"/>
      <w:b/>
      <w:i/>
      <w:iCs/>
      <w:color w:val="000000" w:themeColor="text1"/>
    </w:rPr>
  </w:style>
  <w:style w:type="paragraph" w:styleId="Heading5">
    <w:name w:val="heading 5"/>
    <w:basedOn w:val="Normal"/>
    <w:next w:val="Normal"/>
    <w:link w:val="Heading5Char"/>
    <w:autoRedefine/>
    <w:uiPriority w:val="9"/>
    <w:semiHidden/>
    <w:unhideWhenUsed/>
    <w:qFormat/>
    <w:rsid w:val="00285674"/>
    <w:pPr>
      <w:keepNext/>
      <w:keepLines/>
      <w:spacing w:before="80" w:after="40"/>
      <w:outlineLvl w:val="4"/>
    </w:pPr>
    <w:rPr>
      <w:rFonts w:eastAsiaTheme="majorEastAsia" w:cstheme="majorBidi"/>
      <w:color w:val="2E74B5" w:themeColor="accent1" w:themeShade="BF"/>
    </w:rPr>
  </w:style>
  <w:style w:type="paragraph" w:styleId="Heading6">
    <w:name w:val="heading 6"/>
    <w:basedOn w:val="Normal"/>
    <w:next w:val="Normal"/>
    <w:link w:val="Heading6Char"/>
    <w:uiPriority w:val="9"/>
    <w:semiHidden/>
    <w:unhideWhenUsed/>
    <w:qFormat/>
    <w:rsid w:val="003047AB"/>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3047AB"/>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3047AB"/>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3047AB"/>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285674"/>
    <w:rPr>
      <w:rFonts w:asciiTheme="majorHAnsi" w:eastAsiaTheme="majorEastAsia" w:hAnsiTheme="majorHAnsi" w:cstheme="majorBidi"/>
      <w:b/>
      <w:sz w:val="32"/>
      <w:szCs w:val="40"/>
    </w:rPr>
  </w:style>
  <w:style w:type="character" w:customStyle="1" w:styleId="Heading2Char">
    <w:name w:val="Heading 2 Char"/>
    <w:basedOn w:val="DefaultParagraphFont"/>
    <w:link w:val="Heading2"/>
    <w:uiPriority w:val="9"/>
    <w:rsid w:val="00285674"/>
    <w:rPr>
      <w:rFonts w:asciiTheme="majorHAnsi" w:eastAsiaTheme="majorEastAsia" w:hAnsiTheme="majorHAnsi" w:cstheme="majorBidi"/>
      <w:b/>
      <w:color w:val="000000" w:themeColor="text1"/>
      <w:sz w:val="28"/>
      <w:szCs w:val="32"/>
    </w:rPr>
  </w:style>
  <w:style w:type="character" w:customStyle="1" w:styleId="Heading3Char">
    <w:name w:val="Heading 3 Char"/>
    <w:basedOn w:val="DefaultParagraphFont"/>
    <w:link w:val="Heading3"/>
    <w:uiPriority w:val="9"/>
    <w:rsid w:val="00285674"/>
    <w:rPr>
      <w:rFonts w:eastAsiaTheme="majorEastAsia" w:cstheme="majorBidi"/>
      <w:b/>
      <w:color w:val="000000" w:themeColor="text1"/>
      <w:szCs w:val="28"/>
    </w:rPr>
  </w:style>
  <w:style w:type="character" w:customStyle="1" w:styleId="Heading4Char">
    <w:name w:val="Heading 4 Char"/>
    <w:basedOn w:val="DefaultParagraphFont"/>
    <w:link w:val="Heading4"/>
    <w:uiPriority w:val="9"/>
    <w:semiHidden/>
    <w:rsid w:val="00285674"/>
    <w:rPr>
      <w:rFonts w:eastAsiaTheme="majorEastAsia" w:cstheme="majorBidi"/>
      <w:b/>
      <w:i/>
      <w:iCs/>
      <w:color w:val="000000" w:themeColor="text1"/>
    </w:rPr>
  </w:style>
  <w:style w:type="character" w:customStyle="1" w:styleId="Heading5Char">
    <w:name w:val="Heading 5 Char"/>
    <w:basedOn w:val="DefaultParagraphFont"/>
    <w:link w:val="Heading5"/>
    <w:uiPriority w:val="9"/>
    <w:semiHidden/>
    <w:rsid w:val="00285674"/>
    <w:rPr>
      <w:rFonts w:eastAsiaTheme="majorEastAsia" w:cstheme="majorBidi"/>
      <w:color w:val="2E74B5" w:themeColor="accent1" w:themeShade="BF"/>
    </w:rPr>
  </w:style>
  <w:style w:type="character" w:customStyle="1" w:styleId="Heading6Char">
    <w:name w:val="Heading 6 Char"/>
    <w:basedOn w:val="DefaultParagraphFont"/>
    <w:link w:val="Heading6"/>
    <w:uiPriority w:val="9"/>
    <w:semiHidden/>
    <w:rsid w:val="003047AB"/>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3047AB"/>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3047AB"/>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3047AB"/>
    <w:rPr>
      <w:rFonts w:eastAsiaTheme="majorEastAsia" w:cstheme="majorBidi"/>
      <w:color w:val="272727" w:themeColor="text1" w:themeTint="D8"/>
    </w:rPr>
  </w:style>
  <w:style w:type="paragraph" w:styleId="Title">
    <w:name w:val="Title"/>
    <w:basedOn w:val="Normal"/>
    <w:next w:val="Normal"/>
    <w:link w:val="TitleChar"/>
    <w:uiPriority w:val="10"/>
    <w:qFormat/>
    <w:rsid w:val="003047AB"/>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3047AB"/>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3047AB"/>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3047AB"/>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3047AB"/>
    <w:pPr>
      <w:spacing w:before="160"/>
      <w:jc w:val="center"/>
    </w:pPr>
    <w:rPr>
      <w:i/>
      <w:iCs/>
      <w:color w:val="404040" w:themeColor="text1" w:themeTint="BF"/>
    </w:rPr>
  </w:style>
  <w:style w:type="character" w:customStyle="1" w:styleId="QuoteChar">
    <w:name w:val="Quote Char"/>
    <w:basedOn w:val="DefaultParagraphFont"/>
    <w:link w:val="Quote"/>
    <w:uiPriority w:val="29"/>
    <w:rsid w:val="003047AB"/>
    <w:rPr>
      <w:i/>
      <w:iCs/>
      <w:color w:val="404040" w:themeColor="text1" w:themeTint="BF"/>
    </w:rPr>
  </w:style>
  <w:style w:type="paragraph" w:styleId="ListParagraph">
    <w:name w:val="List Paragraph"/>
    <w:basedOn w:val="Normal"/>
    <w:uiPriority w:val="34"/>
    <w:qFormat/>
    <w:rsid w:val="003047AB"/>
    <w:pPr>
      <w:ind w:left="720"/>
      <w:contextualSpacing/>
    </w:pPr>
  </w:style>
  <w:style w:type="character" w:styleId="IntenseEmphasis">
    <w:name w:val="Intense Emphasis"/>
    <w:basedOn w:val="DefaultParagraphFont"/>
    <w:uiPriority w:val="21"/>
    <w:qFormat/>
    <w:rsid w:val="003047AB"/>
    <w:rPr>
      <w:i/>
      <w:iCs/>
      <w:color w:val="2E74B5" w:themeColor="accent1" w:themeShade="BF"/>
    </w:rPr>
  </w:style>
  <w:style w:type="paragraph" w:styleId="IntenseQuote">
    <w:name w:val="Intense Quote"/>
    <w:basedOn w:val="Normal"/>
    <w:next w:val="Normal"/>
    <w:link w:val="IntenseQuoteChar"/>
    <w:uiPriority w:val="30"/>
    <w:qFormat/>
    <w:rsid w:val="003047AB"/>
    <w:pPr>
      <w:pBdr>
        <w:top w:val="single" w:sz="4" w:space="10" w:color="2E74B5" w:themeColor="accent1" w:themeShade="BF"/>
        <w:bottom w:val="single" w:sz="4" w:space="10" w:color="2E74B5" w:themeColor="accent1" w:themeShade="BF"/>
      </w:pBdr>
      <w:spacing w:before="360" w:after="360"/>
      <w:ind w:left="864" w:right="864"/>
      <w:jc w:val="center"/>
    </w:pPr>
    <w:rPr>
      <w:i/>
      <w:iCs/>
      <w:color w:val="2E74B5" w:themeColor="accent1" w:themeShade="BF"/>
    </w:rPr>
  </w:style>
  <w:style w:type="character" w:customStyle="1" w:styleId="IntenseQuoteChar">
    <w:name w:val="Intense Quote Char"/>
    <w:basedOn w:val="DefaultParagraphFont"/>
    <w:link w:val="IntenseQuote"/>
    <w:uiPriority w:val="30"/>
    <w:rsid w:val="003047AB"/>
    <w:rPr>
      <w:i/>
      <w:iCs/>
      <w:color w:val="2E74B5" w:themeColor="accent1" w:themeShade="BF"/>
    </w:rPr>
  </w:style>
  <w:style w:type="character" w:styleId="IntenseReference">
    <w:name w:val="Intense Reference"/>
    <w:basedOn w:val="DefaultParagraphFont"/>
    <w:uiPriority w:val="32"/>
    <w:qFormat/>
    <w:rsid w:val="003047AB"/>
    <w:rPr>
      <w:b/>
      <w:bCs/>
      <w:smallCaps/>
      <w:color w:val="2E74B5" w:themeColor="accent1" w:themeShade="BF"/>
      <w:spacing w:val="5"/>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3" Type="http://schemas.openxmlformats.org/officeDocument/2006/relationships/webSettings" Target="webSettings.xml"/><Relationship Id="rId2" Type="http://schemas.openxmlformats.org/officeDocument/2006/relationships/settings" Target="settings.xml"/><Relationship Id="rId1" Type="http://schemas.openxmlformats.org/officeDocument/2006/relationships/styles" Target="styles.xml"/><Relationship Id="rId5" Type="http://schemas.openxmlformats.org/officeDocument/2006/relationships/theme" Target="theme/theme1.xml"/><Relationship Id="rId4" Type="http://schemas.openxmlformats.org/officeDocument/2006/relationships/fontTable" Target="fontTable.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ゴシック"/>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Normal.dotm</Template>
  <TotalTime>0</TotalTime>
  <Pages>1</Pages>
  <Words>864</Words>
  <Characters>4496</Characters>
  <Application>Microsoft Office Word</Application>
  <DocSecurity>0</DocSecurity>
  <Lines>86</Lines>
  <Paragraphs>47</Paragraphs>
  <ScaleCrop>false</ScaleCrop>
  <Company/>
  <LinksUpToDate>false</LinksUpToDate>
  <CharactersWithSpaces>5313</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Michael Teague</dc:creator>
  <cp:keywords/>
  <dc:description/>
  <cp:lastModifiedBy>Michael Teague</cp:lastModifiedBy>
  <cp:revision>1</cp:revision>
  <dcterms:created xsi:type="dcterms:W3CDTF">2026-08-13T02:35:00Z</dcterms:created>
  <dcterms:modified xsi:type="dcterms:W3CDTF">2026-08-13T02:35:00Z</dcterms:modified>
</cp:coreProperties>
</file>