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BEEF" w14:textId="77777777" w:rsidR="00B5308B" w:rsidRPr="00B5308B" w:rsidRDefault="00B5308B">
      <w:pPr>
        <w:rPr>
          <w:b/>
        </w:rPr>
      </w:pPr>
      <w:r w:rsidRPr="00B5308B">
        <w:rPr>
          <w:b/>
        </w:rPr>
        <w:t>CERTIFICATE - ( apostasion , Strong's G647 )</w:t>
      </w:r>
    </w:p>
    <w:p w14:paraId="067643A7" w14:textId="77777777" w:rsidR="00B5308B" w:rsidRDefault="00B5308B">
      <w:r w:rsidRPr="00B5308B">
        <w:rPr>
          <w:b/>
        </w:rPr>
        <w:t>Summary:</w:t>
      </w:r>
    </w:p>
    <w:p w14:paraId="58DB2990" w14:textId="77777777" w:rsidR="00B5308B" w:rsidRDefault="00B5308B">
      <w:r>
        <w:t>The Greek noun apostasion refers to a legal document of repudiation, specifically a bill or certificate of divorce. Derived from a verb meaning to stand away or depart, the term represents the official instrument used to legally dissolve a marriage. In the ancient world, this written certificate served as a vital legal protection for a divorced woman, declaring her free from her former husband and defending her against accusations of adultery should she remarry. In the Sermon on the Mount, Jesus addresses the contemporary abuse of this provision, emphasizing that a legal document does not validate or sanitize a divorce that violates God's original design for marriage.</w:t>
      </w:r>
    </w:p>
    <w:p w14:paraId="3AED7497" w14:textId="77777777" w:rsidR="00B5308B" w:rsidRDefault="00B5308B"/>
    <w:p w14:paraId="5AD61D5A" w14:textId="77777777" w:rsidR="00B5308B" w:rsidRDefault="00B5308B">
      <w:r w:rsidRPr="00B5308B">
        <w:rPr>
          <w:b/>
        </w:rPr>
        <w:t>Full Study:</w:t>
      </w:r>
    </w:p>
    <w:p w14:paraId="66105006" w14:textId="77777777" w:rsidR="00B5308B" w:rsidRDefault="00B5308B"/>
    <w:p w14:paraId="4F1BAFF8" w14:textId="77777777" w:rsidR="00B5308B" w:rsidRPr="00B5308B" w:rsidRDefault="00B5308B">
      <w:pPr>
        <w:rPr>
          <w:b/>
        </w:rPr>
      </w:pPr>
      <w:r w:rsidRPr="00B5308B">
        <w:rPr>
          <w:b/>
        </w:rPr>
        <w:t xml:space="preserve"> 1. Word Picture / Background</w:t>
      </w:r>
    </w:p>
    <w:p w14:paraId="6D4EA356" w14:textId="77777777" w:rsidR="00B5308B" w:rsidRDefault="00B5308B">
      <w:r>
        <w:t xml:space="preserve">The word apostasion is derived from the verb aphistemi, which means to remove, stand off, draw away, or depart. Historically, the noun shifted from a general sense of departure or desertion to a highly specialized legal term. In classical Greek and ancient papyri, it was used for a deed of release, a relinquishment of property, or a formal written discharge of a debt or obligation. </w:t>
      </w:r>
    </w:p>
    <w:p w14:paraId="450AEA1A" w14:textId="77777777" w:rsidR="00B5308B" w:rsidRDefault="00B5308B"/>
    <w:p w14:paraId="14DC6B35" w14:textId="77777777" w:rsidR="00B5308B" w:rsidRDefault="00B5308B">
      <w:r>
        <w:t>In the biblical context, apostasion became the technical term for a bill of divorce. This usage traces back to the Greek translation of the Old Testament (the Septuagint), where it translated the Hebrew term sepher keritut, literally meaning a "book of cutting off" or "scroll of excision." It represented the physical piece of parchment that cut the marital bond and legally released the wife from her husband’s authority.</w:t>
      </w:r>
    </w:p>
    <w:p w14:paraId="766DC7CE" w14:textId="77777777" w:rsidR="00B5308B" w:rsidRDefault="00B5308B"/>
    <w:p w14:paraId="7CD5E327" w14:textId="77777777" w:rsidR="00B5308B" w:rsidRPr="00B5308B" w:rsidRDefault="00B5308B">
      <w:pPr>
        <w:rPr>
          <w:b/>
        </w:rPr>
      </w:pPr>
      <w:r w:rsidRPr="00B5308B">
        <w:rPr>
          <w:b/>
        </w:rPr>
        <w:t xml:space="preserve"> 2. Meaning / Lexical Definition</w:t>
      </w:r>
    </w:p>
    <w:p w14:paraId="18D69DD0" w14:textId="77777777" w:rsidR="00B5308B" w:rsidRDefault="00B5308B">
      <w:r>
        <w:t>The term apostasion denotes a formal, written instrument of divorce or repudiation. It is not the act of divorce itself, but the legal document that certifies the divorce has occurred. The lexical range is narrow and specific:</w:t>
      </w:r>
    </w:p>
    <w:p w14:paraId="12601ADC" w14:textId="77777777" w:rsidR="00B5308B" w:rsidRDefault="00B5308B">
      <w:r>
        <w:t>• A writing of divorcement.</w:t>
      </w:r>
    </w:p>
    <w:p w14:paraId="0A59911B" w14:textId="77777777" w:rsidR="00B5308B" w:rsidRDefault="00B5308B">
      <w:r>
        <w:t>• A bill or certificate of repudiation.</w:t>
      </w:r>
    </w:p>
    <w:p w14:paraId="5EE39BCA" w14:textId="77777777" w:rsidR="00B5308B" w:rsidRDefault="00B5308B">
      <w:r>
        <w:t>• A legal deed of release from marriage covenants.</w:t>
      </w:r>
    </w:p>
    <w:p w14:paraId="11DEB6F7" w14:textId="77777777" w:rsidR="00B5308B" w:rsidRDefault="00B5308B"/>
    <w:p w14:paraId="59759475" w14:textId="77777777" w:rsidR="00B5308B" w:rsidRDefault="00B5308B">
      <w:r>
        <w:t>By requiring a written document, Jewish law ensured that divorce could not be executed through a hasty, spoken word in a moment of anger. The certificate required formal preparation, witnesses, and delivery, which served as a legal buffer to slow down the process and protect the vulnerable party.</w:t>
      </w:r>
    </w:p>
    <w:p w14:paraId="73B43C8E" w14:textId="77777777" w:rsidR="00B5308B" w:rsidRDefault="00B5308B"/>
    <w:p w14:paraId="376B7B6A" w14:textId="77777777" w:rsidR="00B5308B" w:rsidRPr="00B5308B" w:rsidRDefault="00B5308B">
      <w:pPr>
        <w:rPr>
          <w:b/>
        </w:rPr>
      </w:pPr>
      <w:r w:rsidRPr="00B5308B">
        <w:rPr>
          <w:b/>
        </w:rPr>
        <w:t xml:space="preserve"> 3. Usage and Word Pictures</w:t>
      </w:r>
    </w:p>
    <w:p w14:paraId="74C94B3F" w14:textId="77777777" w:rsidR="00B5308B" w:rsidRDefault="00B5308B">
      <w:r>
        <w:t xml:space="preserve">The use of apostasion carries a strong legal and social picture. In the ancient Near East, an undocumented divorced woman was in a highly precarious position. Without proof of her divorce, she could be accused of adultery—a capital offense—if she cohabited with another man. </w:t>
      </w:r>
    </w:p>
    <w:p w14:paraId="0AFACD96" w14:textId="77777777" w:rsidR="00B5308B" w:rsidRDefault="00B5308B"/>
    <w:p w14:paraId="5F98DAB3" w14:textId="77777777" w:rsidR="00B5308B" w:rsidRDefault="00B5308B">
      <w:r>
        <w:t xml:space="preserve">The apostasion was a document of liberation and protection. It typically contained the formulaic phrase: "You are now free to be married to any man." By handing his wife this certificate, the husband formally relinquished all legal claims to her, restored her dowry rights, and defended her reputation against future charges of unfaithfulness. </w:t>
      </w:r>
    </w:p>
    <w:p w14:paraId="6A70B82E" w14:textId="77777777" w:rsidR="00B5308B" w:rsidRDefault="00B5308B"/>
    <w:p w14:paraId="75050C6C" w14:textId="77777777" w:rsidR="00B5308B" w:rsidRPr="00B5308B" w:rsidRDefault="00B5308B">
      <w:pPr>
        <w:rPr>
          <w:b/>
        </w:rPr>
      </w:pPr>
      <w:r w:rsidRPr="00B5308B">
        <w:rPr>
          <w:b/>
        </w:rPr>
        <w:t xml:space="preserve"> 4. Theological Implications</w:t>
      </w:r>
    </w:p>
    <w:p w14:paraId="5732B235" w14:textId="77777777" w:rsidR="00B5308B" w:rsidRDefault="00B5308B">
      <w:r>
        <w:t>The theological significance of apostasion centers on the tension between God's ideal and human weakness. God designed marriage to be a lifelong, covenantal union. The provision of the apostasion in Deuteronomy 24:1-4 was not an institution of divorce, nor was it a divine command to end marriages. Rather, it was a merciful civil concession designed to regulate an existing fallen practice and protect the discarded wife from further abuse or destitution.</w:t>
      </w:r>
    </w:p>
    <w:p w14:paraId="3CA6EC7B" w14:textId="77777777" w:rsidR="00B5308B" w:rsidRDefault="00B5308B"/>
    <w:p w14:paraId="69D4A08E" w14:textId="77777777" w:rsidR="00B5308B" w:rsidRDefault="00B5308B">
      <w:r>
        <w:t>In the New Testament, Jesus reframes the theological understanding of the certificate. He demonstrates that while Moses permitted the apostasion because of the hardness of human hearts, it was never part of the original creation mandate. The existence of a legal certificate does not make a divorce morally right in the eyes of God. Legal compliance does not equate to moral righteousness.</w:t>
      </w:r>
    </w:p>
    <w:p w14:paraId="7C12C664" w14:textId="77777777" w:rsidR="00B5308B" w:rsidRDefault="00B5308B"/>
    <w:p w14:paraId="793EE9FF" w14:textId="77777777" w:rsidR="00B5308B" w:rsidRPr="00B5308B" w:rsidRDefault="00B5308B">
      <w:pPr>
        <w:rPr>
          <w:b/>
        </w:rPr>
      </w:pPr>
      <w:r w:rsidRPr="00B5308B">
        <w:rPr>
          <w:b/>
        </w:rPr>
        <w:t xml:space="preserve"> 5. Contextual Nuance in the Passage</w:t>
      </w:r>
    </w:p>
    <w:p w14:paraId="1BBD479B" w14:textId="77777777" w:rsidR="00B5308B" w:rsidRDefault="00B5308B">
      <w:r>
        <w:t>In Matthew 5:31, Jesus addresses a culture that had trivialized divorce by focusing entirely on the technicality of the certificate. Two primary rabbinic schools debated Deuteronomy 24:1. The conservative school of Shammai allowed divorce only for grave unchastity. The liberal school of Hillel argued that a man could divorce his wife for almost any cause, even for burning his food, provided he gave her a proper certificate of divorce (apostasion).</w:t>
      </w:r>
    </w:p>
    <w:p w14:paraId="4CC0CDEC" w14:textId="77777777" w:rsidR="00B5308B" w:rsidRDefault="00B5308B"/>
    <w:p w14:paraId="74B8BCB8" w14:textId="77777777" w:rsidR="00B5308B" w:rsidRDefault="00B5308B">
      <w:r>
        <w:t>Jesus cuts through this legalistic loophole. The scribes taught that as long as a man went through the proper legal channels and handed over the apostasion, he had fulfilled his righteousness. Jesus exposes this hypocrisy. He declares that divorcing a wife without biblical cause forces her into a situation where she is stigmatized, and anyone who marries her commits adultery. The presence of a legal certificate does not cloak a sinful, covenant-breaking heart.</w:t>
      </w:r>
    </w:p>
    <w:p w14:paraId="46650FEC" w14:textId="77777777" w:rsidR="00B5308B" w:rsidRDefault="00B5308B"/>
    <w:p w14:paraId="3692D732" w14:textId="77777777" w:rsidR="00B5308B" w:rsidRPr="00B5308B" w:rsidRDefault="00B5308B">
      <w:pPr>
        <w:rPr>
          <w:b/>
        </w:rPr>
      </w:pPr>
      <w:r w:rsidRPr="00B5308B">
        <w:rPr>
          <w:b/>
        </w:rPr>
        <w:t xml:space="preserve"> 6. Key Uses in Other Verses (NKJV)</w:t>
      </w:r>
    </w:p>
    <w:p w14:paraId="1859F2C8" w14:textId="77777777" w:rsidR="00B5308B" w:rsidRDefault="00B5308B">
      <w:r>
        <w:t>• Matthew 5:31 — "Furthermore it has been said, 'Whoever divorces his wife, let him give her a certificate of divorce.'"</w:t>
      </w:r>
    </w:p>
    <w:p w14:paraId="6668A53C" w14:textId="77777777" w:rsidR="00B5308B" w:rsidRDefault="00B5308B">
      <w:r>
        <w:t>• Matthew 19:7 — "They said to Him, 'Why then did Moses command to give a certificate of divorce, and to put her away?'"</w:t>
      </w:r>
    </w:p>
    <w:p w14:paraId="4AABDCB7" w14:textId="77777777" w:rsidR="00B5308B" w:rsidRDefault="00B5308B">
      <w:r>
        <w:t>• Mark 10:4 — "And they said, 'Moses permitted a man to write a certificate of divorce, and to dismiss her.'"</w:t>
      </w:r>
    </w:p>
    <w:p w14:paraId="1A603B1E" w14:textId="77777777" w:rsidR="00B5308B" w:rsidRDefault="00B5308B"/>
    <w:p w14:paraId="4628576C" w14:textId="77777777" w:rsidR="00B5308B" w:rsidRPr="00B5308B" w:rsidRDefault="00B5308B">
      <w:pPr>
        <w:rPr>
          <w:b/>
        </w:rPr>
      </w:pPr>
      <w:r w:rsidRPr="00B5308B">
        <w:rPr>
          <w:b/>
        </w:rPr>
        <w:t xml:space="preserve"> 7. Other Relevant Insights</w:t>
      </w:r>
    </w:p>
    <w:p w14:paraId="0C82AB70" w14:textId="77777777" w:rsidR="00B5308B" w:rsidRDefault="00B5308B">
      <w:r>
        <w:t>In the Septuagint (LXX), apostasion is used in the foundational Old Testament passages concerning divorce:</w:t>
      </w:r>
    </w:p>
    <w:p w14:paraId="6FC869D1" w14:textId="77777777" w:rsidR="00B5308B" w:rsidRDefault="00B5308B">
      <w:r>
        <w:t>• Deuteronomy 24:1 — "...and he writes her a certificate of divorce, puts it in her hand, and sends her out of his house..."</w:t>
      </w:r>
    </w:p>
    <w:p w14:paraId="200E951D" w14:textId="77777777" w:rsidR="00B5308B" w:rsidRDefault="00B5308B">
      <w:r>
        <w:t>• Isaiah 50:1 — "Where is the certificate of your mother’s divorce, whom I have put away?"</w:t>
      </w:r>
    </w:p>
    <w:p w14:paraId="142F8A1B" w14:textId="77777777" w:rsidR="00B5308B" w:rsidRDefault="00B5308B">
      <w:r>
        <w:t>• Jeremiah 3:8 — "...I had put her away and given her a certificate of divorce..."</w:t>
      </w:r>
    </w:p>
    <w:p w14:paraId="5888137A" w14:textId="77777777" w:rsidR="00B5308B" w:rsidRDefault="00B5308B"/>
    <w:p w14:paraId="014DF52C" w14:textId="77777777" w:rsidR="00B5308B" w:rsidRDefault="00B5308B">
      <w:r>
        <w:t>These Old Testament uses demonstrate that God used the imagery of the apostasion to describe His covenantal dealings with faithless Israel, illustrating the severity of spiritual adultery and the legal reality of Israel's national exile.</w:t>
      </w:r>
    </w:p>
    <w:p w14:paraId="2A3CE05D" w14:textId="77777777" w:rsidR="00B5308B" w:rsidRDefault="00B5308B"/>
    <w:p w14:paraId="29225DE4" w14:textId="77777777" w:rsidR="00B5308B" w:rsidRPr="00B5308B" w:rsidRDefault="00B5308B">
      <w:pPr>
        <w:rPr>
          <w:b/>
        </w:rPr>
      </w:pPr>
      <w:r w:rsidRPr="00B5308B">
        <w:rPr>
          <w:b/>
        </w:rPr>
        <w:t xml:space="preserve"> 8. References</w:t>
      </w:r>
    </w:p>
    <w:p w14:paraId="55BA36F6" w14:textId="77777777" w:rsidR="00B5308B" w:rsidRDefault="00B5308B">
      <w:r>
        <w:t>• A Greek-English Lexicon of the New Testament and Other Early Christian Literature (BDAG)</w:t>
      </w:r>
    </w:p>
    <w:p w14:paraId="70C81F44" w14:textId="77777777" w:rsidR="00B5308B" w:rsidRDefault="00B5308B">
      <w:r>
        <w:t>• Theological Dictionary of the New Testament (TDNT / Little Kittel)</w:t>
      </w:r>
    </w:p>
    <w:p w14:paraId="51719502" w14:textId="77777777" w:rsidR="00B5308B" w:rsidRDefault="00B5308B">
      <w:r>
        <w:t>• New International Dictionary of New Testament Theology and Exegesis (NIDNTTE)</w:t>
      </w:r>
    </w:p>
    <w:p w14:paraId="7439C02F" w14:textId="77777777" w:rsidR="00B5308B" w:rsidRDefault="00B5308B">
      <w:r>
        <w:t>• Thayer's Greek-English Lexicon of the New Testament</w:t>
      </w:r>
    </w:p>
    <w:p w14:paraId="0AC3A677" w14:textId="77777777" w:rsidR="00B5308B" w:rsidRDefault="00B5308B">
      <w:r>
        <w:t>• Blue Letter Bible (Strong's G647)</w:t>
      </w:r>
    </w:p>
    <w:p w14:paraId="79148189" w14:textId="0ED5C8B3" w:rsidR="004C5552" w:rsidRDefault="00B5308B">
      <w:r>
        <w:t>• Precept Austin Commentary on Matthew 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08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5308B"/>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FC55F"/>
  <w15:chartTrackingRefBased/>
  <w15:docId w15:val="{A24066D6-1A88-453F-A803-25B9622F8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3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3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08B"/>
    <w:rPr>
      <w:rFonts w:eastAsiaTheme="majorEastAsia" w:cstheme="majorBidi"/>
      <w:color w:val="272727" w:themeColor="text1" w:themeTint="D8"/>
    </w:rPr>
  </w:style>
  <w:style w:type="paragraph" w:styleId="Title">
    <w:name w:val="Title"/>
    <w:basedOn w:val="Normal"/>
    <w:next w:val="Normal"/>
    <w:link w:val="TitleChar"/>
    <w:uiPriority w:val="10"/>
    <w:qFormat/>
    <w:rsid w:val="00B53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08B"/>
    <w:pPr>
      <w:spacing w:before="160"/>
      <w:jc w:val="center"/>
    </w:pPr>
    <w:rPr>
      <w:i/>
      <w:iCs/>
      <w:color w:val="404040" w:themeColor="text1" w:themeTint="BF"/>
    </w:rPr>
  </w:style>
  <w:style w:type="character" w:customStyle="1" w:styleId="QuoteChar">
    <w:name w:val="Quote Char"/>
    <w:basedOn w:val="DefaultParagraphFont"/>
    <w:link w:val="Quote"/>
    <w:uiPriority w:val="29"/>
    <w:rsid w:val="00B5308B"/>
    <w:rPr>
      <w:i/>
      <w:iCs/>
      <w:color w:val="404040" w:themeColor="text1" w:themeTint="BF"/>
    </w:rPr>
  </w:style>
  <w:style w:type="paragraph" w:styleId="ListParagraph">
    <w:name w:val="List Paragraph"/>
    <w:basedOn w:val="Normal"/>
    <w:uiPriority w:val="34"/>
    <w:qFormat/>
    <w:rsid w:val="00B5308B"/>
    <w:pPr>
      <w:ind w:left="720"/>
      <w:contextualSpacing/>
    </w:pPr>
  </w:style>
  <w:style w:type="character" w:styleId="IntenseEmphasis">
    <w:name w:val="Intense Emphasis"/>
    <w:basedOn w:val="DefaultParagraphFont"/>
    <w:uiPriority w:val="21"/>
    <w:qFormat/>
    <w:rsid w:val="00B5308B"/>
    <w:rPr>
      <w:i/>
      <w:iCs/>
      <w:color w:val="2E74B5" w:themeColor="accent1" w:themeShade="BF"/>
    </w:rPr>
  </w:style>
  <w:style w:type="paragraph" w:styleId="IntenseQuote">
    <w:name w:val="Intense Quote"/>
    <w:basedOn w:val="Normal"/>
    <w:next w:val="Normal"/>
    <w:link w:val="IntenseQuoteChar"/>
    <w:uiPriority w:val="30"/>
    <w:qFormat/>
    <w:rsid w:val="00B530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308B"/>
    <w:rPr>
      <w:i/>
      <w:iCs/>
      <w:color w:val="2E74B5" w:themeColor="accent1" w:themeShade="BF"/>
    </w:rPr>
  </w:style>
  <w:style w:type="character" w:styleId="IntenseReference">
    <w:name w:val="Intense Reference"/>
    <w:basedOn w:val="DefaultParagraphFont"/>
    <w:uiPriority w:val="32"/>
    <w:qFormat/>
    <w:rsid w:val="00B530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5200</Characters>
  <Application>Microsoft Office Word</Application>
  <DocSecurity>0</DocSecurity>
  <Lines>100</Lines>
  <Paragraphs>54</Paragraphs>
  <ScaleCrop>false</ScaleCrop>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