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99D7" w14:textId="77777777" w:rsidR="000C5F79" w:rsidRPr="000C5F79" w:rsidRDefault="000C5F79">
      <w:pPr>
        <w:rPr>
          <w:b/>
        </w:rPr>
      </w:pPr>
      <w:r w:rsidRPr="000C5F79">
        <w:rPr>
          <w:b/>
        </w:rPr>
        <w:t>THEREFORE - ( oun , Strong's G3767 )</w:t>
      </w:r>
    </w:p>
    <w:p w14:paraId="30E6F5B1" w14:textId="77777777" w:rsidR="000C5F79" w:rsidRDefault="000C5F79">
      <w:r w:rsidRPr="000C5F79">
        <w:rPr>
          <w:b/>
        </w:rPr>
        <w:t>Summary:</w:t>
      </w:r>
    </w:p>
    <w:p w14:paraId="3607A425" w14:textId="77777777" w:rsidR="000C5F79" w:rsidRDefault="000C5F79">
      <w:r>
        <w:t>The Greek conjunction oun ("therefore") functions as a logical and theological hinge, connecting a preceding truth to its practical, ethical, or relational application. In Matthew 7:12, it introduces the "Golden Rule" not as an isolated ethical maxim, but as the direct, organic consequence of the Father's generous grace described in the preceding verses. Because God gives good gifts to His children who ask Him, believers are empowered and obligated to extend that same active goodness, love, and righteousness to others.</w:t>
      </w:r>
    </w:p>
    <w:p w14:paraId="1417FC07" w14:textId="77777777" w:rsidR="000C5F79" w:rsidRDefault="000C5F79"/>
    <w:p w14:paraId="78A9B647" w14:textId="77777777" w:rsidR="000C5F79" w:rsidRDefault="000C5F79">
      <w:r w:rsidRPr="000C5F79">
        <w:rPr>
          <w:b/>
        </w:rPr>
        <w:t>Full Study:</w:t>
      </w:r>
    </w:p>
    <w:p w14:paraId="494E11BA" w14:textId="77777777" w:rsidR="000C5F79" w:rsidRDefault="000C5F79"/>
    <w:p w14:paraId="634D464A" w14:textId="77777777" w:rsidR="000C5F79" w:rsidRPr="000C5F79" w:rsidRDefault="000C5F79">
      <w:pPr>
        <w:rPr>
          <w:b/>
        </w:rPr>
      </w:pPr>
      <w:r w:rsidRPr="000C5F79">
        <w:rPr>
          <w:b/>
        </w:rPr>
        <w:t>1. Word Picture / Background</w:t>
      </w:r>
    </w:p>
    <w:p w14:paraId="1BAB34CB" w14:textId="77777777" w:rsidR="000C5F79" w:rsidRDefault="000C5F79">
      <w:r>
        <w:t>In classical and New Testament Greek, logical conjunctions are the skeletal structure of an argument. They prevent instructions from hanging in midair as arbitrary rules. The word oun is the ultimate transition word, acting as a bridge between the divine indicative (what God has done or who He is) and the human imperative (how we must live in response). It is a structural pivot. It binds theology to ethics, showing that Christian morality is never detached from the reality of God's character and actions.</w:t>
      </w:r>
    </w:p>
    <w:p w14:paraId="4C79C43F" w14:textId="77777777" w:rsidR="000C5F79" w:rsidRDefault="000C5F79"/>
    <w:p w14:paraId="70F67B6F" w14:textId="77777777" w:rsidR="000C5F79" w:rsidRPr="000C5F79" w:rsidRDefault="000C5F79">
      <w:pPr>
        <w:rPr>
          <w:b/>
        </w:rPr>
      </w:pPr>
      <w:r w:rsidRPr="000C5F79">
        <w:rPr>
          <w:b/>
        </w:rPr>
        <w:t>2. Meaning / Lexical Definition</w:t>
      </w:r>
    </w:p>
    <w:p w14:paraId="49E0C4A5" w14:textId="77777777" w:rsidR="000C5F79" w:rsidRDefault="000C5F79">
      <w:r>
        <w:t>The word oun is a postpositive coordinating conjunction indicating consequence, transition, or resumption. It expresses a logical conclusion drawn from previous premises, translating to "consequently," "then," "therefore," or "so." Its primary function is to signal that what follows is the natural, necessary result or practical application of what was just established.</w:t>
      </w:r>
    </w:p>
    <w:p w14:paraId="3A2D1131" w14:textId="77777777" w:rsidR="000C5F79" w:rsidRDefault="000C5F79"/>
    <w:p w14:paraId="101B6900" w14:textId="77777777" w:rsidR="000C5F79" w:rsidRPr="000C5F79" w:rsidRDefault="000C5F79">
      <w:pPr>
        <w:rPr>
          <w:b/>
        </w:rPr>
      </w:pPr>
      <w:r w:rsidRPr="000C5F79">
        <w:rPr>
          <w:b/>
        </w:rPr>
        <w:t>3. Usage and Word Pictures</w:t>
      </w:r>
    </w:p>
    <w:p w14:paraId="0898262C" w14:textId="77777777" w:rsidR="000C5F79" w:rsidRDefault="000C5F79">
      <w:r>
        <w:t>• The Hinge of Application: In hortatory (exhortational) contexts, oun acts as the hinge of application. It translates high theology into daily orthopraxy.</w:t>
      </w:r>
    </w:p>
    <w:p w14:paraId="7984308B" w14:textId="77777777" w:rsidR="000C5F79" w:rsidRDefault="000C5F79">
      <w:r>
        <w:t>• The Conduit of Grace: It does not paint a sensory picture (like a noun or verb), but functions like a doorway or a structural cornerstone in a building, holding the weight of the previous argument and redirecting its momentum toward practical action. It shows that the Christian life is a series of "therefores" flowing from the character of God.</w:t>
      </w:r>
    </w:p>
    <w:p w14:paraId="49A5357C" w14:textId="77777777" w:rsidR="000C5F79" w:rsidRDefault="000C5F79"/>
    <w:p w14:paraId="75DF47F8" w14:textId="77777777" w:rsidR="000C5F79" w:rsidRPr="000C5F79" w:rsidRDefault="000C5F79">
      <w:pPr>
        <w:rPr>
          <w:b/>
        </w:rPr>
      </w:pPr>
      <w:r w:rsidRPr="000C5F79">
        <w:rPr>
          <w:b/>
        </w:rPr>
        <w:t>4. Theological Implications</w:t>
      </w:r>
    </w:p>
    <w:p w14:paraId="6D85AC18" w14:textId="77777777" w:rsidR="000C5F79" w:rsidRDefault="000C5F79">
      <w:r>
        <w:t>The theological weight of oun lies in its refusal to separate belief from behavior. True biblical faith operates on a "therefore." In the Sermon on the Mount, and specifically in Matthew 7:12, this "therefore" roots horizontal human relationships in vertical divine realities. The capacity to treat others with proactive, selfless love does not originate from human willpower or social contracts, but from the overflow of experiencing God's lavish fatherly goodness. Grace is the fuel; the "therefore" is the engine that drives the Golden Rule.</w:t>
      </w:r>
    </w:p>
    <w:p w14:paraId="66A96B12" w14:textId="77777777" w:rsidR="000C5F79" w:rsidRDefault="000C5F79"/>
    <w:p w14:paraId="4644AF1A" w14:textId="77777777" w:rsidR="000C5F79" w:rsidRPr="000C5F79" w:rsidRDefault="000C5F79">
      <w:pPr>
        <w:rPr>
          <w:b/>
        </w:rPr>
      </w:pPr>
      <w:r w:rsidRPr="000C5F79">
        <w:rPr>
          <w:b/>
        </w:rPr>
        <w:t>5. Contextual Nuance in the Passage</w:t>
      </w:r>
    </w:p>
    <w:p w14:paraId="0F837708" w14:textId="77777777" w:rsidR="000C5F79" w:rsidRDefault="000C5F79">
      <w:r>
        <w:t xml:space="preserve">In Matthew 7:12, oun connects the Golden Rule back to the immediately preceding section on prayer (Matthew 7:7-11), where Jesus promises that the heavenly Father gives "good things to those who ask Him." Because God is the ultimate, generous Giver who treats us with perfect parental grace, we must therefore treat others with proactive goodness. </w:t>
      </w:r>
    </w:p>
    <w:p w14:paraId="048AC7D9" w14:textId="77777777" w:rsidR="000C5F79" w:rsidRDefault="000C5F79"/>
    <w:p w14:paraId="50FD7DA7" w14:textId="77777777" w:rsidR="000C5F79" w:rsidRDefault="000C5F79">
      <w:r>
        <w:t>It also functions as a grand summation of the ethical standards of the Kingdom presented throughout the Sermon on the Mount (Matthew 5–7). The "therefore" reframes the Golden Rule from a passive avoidance of harm (which was common in ancient pagan and Jewish thought) to an active, aggressive pursuit of our neighbor's highest good, mirroring how God actively pursues our good.</w:t>
      </w:r>
    </w:p>
    <w:p w14:paraId="19BA2C23" w14:textId="77777777" w:rsidR="000C5F79" w:rsidRDefault="000C5F79"/>
    <w:p w14:paraId="17BFB65A" w14:textId="77777777" w:rsidR="000C5F79" w:rsidRPr="000C5F79" w:rsidRDefault="000C5F79">
      <w:pPr>
        <w:rPr>
          <w:b/>
        </w:rPr>
      </w:pPr>
      <w:r w:rsidRPr="000C5F79">
        <w:rPr>
          <w:b/>
        </w:rPr>
        <w:t>6. Key Uses in Other Verses (NKJV)</w:t>
      </w:r>
    </w:p>
    <w:p w14:paraId="1683030C" w14:textId="77777777" w:rsidR="000C5F79" w:rsidRDefault="000C5F79">
      <w:r>
        <w:t>• Matthew 6:34 - "Therefore do not worry about tomorrow, for tomorrow will worry about its own things. Sufficient for the day is its own trouble." (The logic: Because your heavenly Father knows your needs and feeds the birds, you have no basis for anxiety).</w:t>
      </w:r>
    </w:p>
    <w:p w14:paraId="5A54A3F9" w14:textId="77777777" w:rsidR="000C5F79" w:rsidRDefault="000C5F79">
      <w:r>
        <w:t>• Romans 5:1 - "Therefore, having been justified by faith, we have peace with God through our Lord Jesus Christ," (The logic: Because of the sacrificial work of Christ detailed in chapters 1–4, we now possess secure peace).</w:t>
      </w:r>
    </w:p>
    <w:p w14:paraId="04310FE4" w14:textId="77777777" w:rsidR="000C5F79" w:rsidRDefault="000C5F79">
      <w:r>
        <w:t>• Romans 12:1 - "I beseech you therefore, brethren, by the mercies of God, that you present your bodies a living sacrifice, holy, acceptable to God, which is your reasonable service." (The logic: In light of the eleven chapters of profound doctrine and mercy, the only logical response is total self-consecration).</w:t>
      </w:r>
    </w:p>
    <w:p w14:paraId="246E6637" w14:textId="77777777" w:rsidR="000C5F79" w:rsidRDefault="000C5F79"/>
    <w:p w14:paraId="476A0FE9" w14:textId="77777777" w:rsidR="000C5F79" w:rsidRPr="000C5F79" w:rsidRDefault="000C5F79">
      <w:pPr>
        <w:rPr>
          <w:b/>
        </w:rPr>
      </w:pPr>
      <w:r w:rsidRPr="000C5F79">
        <w:rPr>
          <w:b/>
        </w:rPr>
        <w:t>7. Other Relevant Insights</w:t>
      </w:r>
    </w:p>
    <w:p w14:paraId="5F0ED993" w14:textId="77777777" w:rsidR="000C5F79" w:rsidRDefault="000C5F79">
      <w:r>
        <w:t>The Golden Rule is frequently cited in secular settings as a universal humanistic principle of reciprocity. However, the presence of the word therefore strips the Golden Rule of any self-righteous, human-centered autonomy. It demands that the rule be read in its theological context. We do not love others so that they will love us back; we love others because God has first loved us. You cannot separate the ethics of the Kingdom from the grace of the King.</w:t>
      </w:r>
    </w:p>
    <w:p w14:paraId="2597A817" w14:textId="77777777" w:rsidR="000C5F79" w:rsidRDefault="000C5F79"/>
    <w:p w14:paraId="2E181733" w14:textId="77777777" w:rsidR="000C5F79" w:rsidRPr="000C5F79" w:rsidRDefault="000C5F79">
      <w:pPr>
        <w:rPr>
          <w:b/>
        </w:rPr>
      </w:pPr>
      <w:r w:rsidRPr="000C5F79">
        <w:rPr>
          <w:b/>
        </w:rPr>
        <w:t>8. References</w:t>
      </w:r>
    </w:p>
    <w:p w14:paraId="1DE3CB4F" w14:textId="77777777" w:rsidR="000C5F79" w:rsidRDefault="000C5F79">
      <w:r>
        <w:t>• BDAG (Greek-English Lexicon of the New Testament)</w:t>
      </w:r>
    </w:p>
    <w:p w14:paraId="31559378" w14:textId="77777777" w:rsidR="000C5F79" w:rsidRDefault="000C5F79">
      <w:r>
        <w:t>• TDNT (Theological Dictionary of the New Testament)</w:t>
      </w:r>
    </w:p>
    <w:p w14:paraId="71963FDD" w14:textId="77777777" w:rsidR="000C5F79" w:rsidRDefault="000C5F79">
      <w:r>
        <w:t>• Thayer's Greek Lexicon</w:t>
      </w:r>
    </w:p>
    <w:p w14:paraId="6B2BBFA4" w14:textId="77777777" w:rsidR="000C5F79" w:rsidRDefault="000C5F79">
      <w:r>
        <w:t>• Blue Letter Bible</w:t>
      </w:r>
    </w:p>
    <w:p w14:paraId="71F7ADAC" w14:textId="0863EBEB" w:rsidR="004C5552" w:rsidRDefault="000C5F7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79"/>
    <w:rsid w:val="00017747"/>
    <w:rsid w:val="00023A4A"/>
    <w:rsid w:val="0006763F"/>
    <w:rsid w:val="000C53AC"/>
    <w:rsid w:val="000C5F79"/>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D19C1"/>
  <w15:chartTrackingRefBased/>
  <w15:docId w15:val="{35485529-7185-402A-B315-0E081620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5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5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F79"/>
    <w:rPr>
      <w:rFonts w:eastAsiaTheme="majorEastAsia" w:cstheme="majorBidi"/>
      <w:color w:val="272727" w:themeColor="text1" w:themeTint="D8"/>
    </w:rPr>
  </w:style>
  <w:style w:type="paragraph" w:styleId="Title">
    <w:name w:val="Title"/>
    <w:basedOn w:val="Normal"/>
    <w:next w:val="Normal"/>
    <w:link w:val="TitleChar"/>
    <w:uiPriority w:val="10"/>
    <w:qFormat/>
    <w:rsid w:val="000C5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F79"/>
    <w:pPr>
      <w:spacing w:before="160"/>
      <w:jc w:val="center"/>
    </w:pPr>
    <w:rPr>
      <w:i/>
      <w:iCs/>
      <w:color w:val="404040" w:themeColor="text1" w:themeTint="BF"/>
    </w:rPr>
  </w:style>
  <w:style w:type="character" w:customStyle="1" w:styleId="QuoteChar">
    <w:name w:val="Quote Char"/>
    <w:basedOn w:val="DefaultParagraphFont"/>
    <w:link w:val="Quote"/>
    <w:uiPriority w:val="29"/>
    <w:rsid w:val="000C5F79"/>
    <w:rPr>
      <w:i/>
      <w:iCs/>
      <w:color w:val="404040" w:themeColor="text1" w:themeTint="BF"/>
    </w:rPr>
  </w:style>
  <w:style w:type="paragraph" w:styleId="ListParagraph">
    <w:name w:val="List Paragraph"/>
    <w:basedOn w:val="Normal"/>
    <w:uiPriority w:val="34"/>
    <w:qFormat/>
    <w:rsid w:val="000C5F79"/>
    <w:pPr>
      <w:ind w:left="720"/>
      <w:contextualSpacing/>
    </w:pPr>
  </w:style>
  <w:style w:type="character" w:styleId="IntenseEmphasis">
    <w:name w:val="Intense Emphasis"/>
    <w:basedOn w:val="DefaultParagraphFont"/>
    <w:uiPriority w:val="21"/>
    <w:qFormat/>
    <w:rsid w:val="000C5F79"/>
    <w:rPr>
      <w:i/>
      <w:iCs/>
      <w:color w:val="2E74B5" w:themeColor="accent1" w:themeShade="BF"/>
    </w:rPr>
  </w:style>
  <w:style w:type="paragraph" w:styleId="IntenseQuote">
    <w:name w:val="Intense Quote"/>
    <w:basedOn w:val="Normal"/>
    <w:next w:val="Normal"/>
    <w:link w:val="IntenseQuoteChar"/>
    <w:uiPriority w:val="30"/>
    <w:qFormat/>
    <w:rsid w:val="000C5F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5F79"/>
    <w:rPr>
      <w:i/>
      <w:iCs/>
      <w:color w:val="2E74B5" w:themeColor="accent1" w:themeShade="BF"/>
    </w:rPr>
  </w:style>
  <w:style w:type="character" w:styleId="IntenseReference">
    <w:name w:val="Intense Reference"/>
    <w:basedOn w:val="DefaultParagraphFont"/>
    <w:uiPriority w:val="32"/>
    <w:qFormat/>
    <w:rsid w:val="000C5F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4112</Characters>
  <Application>Microsoft Office Word</Application>
  <DocSecurity>0</DocSecurity>
  <Lines>79</Lines>
  <Paragraphs>42</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