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7B22C" w14:textId="77777777" w:rsidR="0003695A" w:rsidRPr="0003695A" w:rsidRDefault="0003695A">
      <w:pPr>
        <w:rPr>
          <w:b/>
        </w:rPr>
      </w:pPr>
      <w:r w:rsidRPr="0003695A">
        <w:rPr>
          <w:b/>
        </w:rPr>
        <w:t>WINESKINS - ( askos , Strong's G779 )</w:t>
      </w:r>
    </w:p>
    <w:p w14:paraId="027AEE59" w14:textId="77777777" w:rsidR="0003695A" w:rsidRDefault="0003695A">
      <w:r w:rsidRPr="0003695A">
        <w:rPr>
          <w:b/>
        </w:rPr>
        <w:t>Summary:</w:t>
      </w:r>
    </w:p>
    <w:p w14:paraId="41FE73CE" w14:textId="77777777" w:rsidR="0003695A" w:rsidRDefault="0003695A">
      <w:r>
        <w:t>In the ancient world, wineskins were containers crafted from animal hides used to store and transport liquids, particularly wine. As new wine ferments, it releases carbon dioxide, causing the container to expand. A fresh, pliable wineskin easily stretches to accommodate this pressure, whereas an old, brittle wineskin cracks and bursts under the strain. In Matthew 9:17, Jesus uses this vivid cultural imagery to demonstrate that the dynamic, life-giving reality of the New Covenant cannot be contained within the rigid, outdated structures of Pharisaic legalism and external ritualism.</w:t>
      </w:r>
    </w:p>
    <w:p w14:paraId="722A08F2" w14:textId="77777777" w:rsidR="0003695A" w:rsidRDefault="0003695A"/>
    <w:p w14:paraId="6C8A6894" w14:textId="77777777" w:rsidR="0003695A" w:rsidRDefault="0003695A">
      <w:r w:rsidRPr="0003695A">
        <w:rPr>
          <w:b/>
        </w:rPr>
        <w:t>Full Study:</w:t>
      </w:r>
    </w:p>
    <w:p w14:paraId="2B80466E" w14:textId="77777777" w:rsidR="0003695A" w:rsidRDefault="0003695A"/>
    <w:p w14:paraId="63E20C23" w14:textId="77777777" w:rsidR="0003695A" w:rsidRPr="0003695A" w:rsidRDefault="0003695A">
      <w:pPr>
        <w:rPr>
          <w:b/>
        </w:rPr>
      </w:pPr>
      <w:r w:rsidRPr="0003695A">
        <w:rPr>
          <w:b/>
        </w:rPr>
        <w:t xml:space="preserve"> 1. Word Picture / Background</w:t>
      </w:r>
    </w:p>
    <w:p w14:paraId="309BDEF2" w14:textId="77777777" w:rsidR="0003695A" w:rsidRDefault="0003695A">
      <w:r>
        <w:t xml:space="preserve">In biblical times, bottles made of glass or earthenware were fragile and difficult to transport over long distances. Consequently, people fashioned containers out of the skins of animals—most commonly goats, but occasionally sheep or oxen. To make a wineskin, the animal was decapitated and skinned in such a way that the hide remained intact. The skin was then tanned using oak bark, and the openings at the legs and tail were tightly sewn or bound, leaving the neck of the animal as the opening or spout of the container. </w:t>
      </w:r>
    </w:p>
    <w:p w14:paraId="254058AB" w14:textId="77777777" w:rsidR="0003695A" w:rsidRDefault="0003695A"/>
    <w:p w14:paraId="26ED7176" w14:textId="77777777" w:rsidR="0003695A" w:rsidRDefault="0003695A">
      <w:r>
        <w:t>When animal skins are new, they retain their natural oils, making them highly elastic, flexible, and resilient. This elasticity is crucial when storing new, unfermented wine. As the new wine undergoes fermentation, it produces significant quantities of carbon dioxide gas, which exerts immense outward pressure. A new, supple wineskin expands easily to accommodate this chemical process. However, as a wineskin ages, exposure to air, heat, and liquids causes the leather to dry out, lose its natural oils, and become rigid, brittle, and stiff. If new, fermenting wine is poured into such an old, brittle skin, the inflexible leather cannot expand under the pressure of the gas and inevitably ruptures, destroying both the container and the wine.</w:t>
      </w:r>
    </w:p>
    <w:p w14:paraId="272ACADF" w14:textId="77777777" w:rsidR="0003695A" w:rsidRDefault="0003695A"/>
    <w:p w14:paraId="62BE39AE" w14:textId="77777777" w:rsidR="0003695A" w:rsidRPr="0003695A" w:rsidRDefault="0003695A">
      <w:pPr>
        <w:rPr>
          <w:b/>
        </w:rPr>
      </w:pPr>
      <w:r w:rsidRPr="0003695A">
        <w:rPr>
          <w:b/>
        </w:rPr>
        <w:t xml:space="preserve"> 2. Meaning / Lexical Definition</w:t>
      </w:r>
    </w:p>
    <w:p w14:paraId="0292B11A" w14:textId="77777777" w:rsidR="0003695A" w:rsidRDefault="0003695A">
      <w:r>
        <w:t xml:space="preserve">The Greek noun askos refers literally to a leather bag, skin, or bottle used as a vessel for holding liquids, especially wine, water, or milk. </w:t>
      </w:r>
    </w:p>
    <w:p w14:paraId="480BBBA0" w14:textId="77777777" w:rsidR="0003695A" w:rsidRDefault="0003695A"/>
    <w:p w14:paraId="48DDFA47" w14:textId="77777777" w:rsidR="0003695A" w:rsidRDefault="0003695A">
      <w:r>
        <w:t>The semantic range of askos is narrow and concrete, consistently denoting a skin container. In classical Greek, the word is used by Homer, Herodotus, and Plato to describe bags made of animal hide. In the Septuagint, askos frequently translates the Hebrew words ob (a leather bottle or spirit-medium container) and nod (a skin bottle), describing containers of milk (Judges 4:19) or wine (Joshua 9:4; 1 Samuel 1:24). In the New Testament, askos appears twelve times, exclusively in the Synoptic Gospels (Matthew, Mark, and Luke) within Jesus' parallel parables concerning the new wine and the old wineskins.</w:t>
      </w:r>
    </w:p>
    <w:p w14:paraId="0BFD1833" w14:textId="77777777" w:rsidR="0003695A" w:rsidRDefault="0003695A"/>
    <w:p w14:paraId="25E7A5E5" w14:textId="77777777" w:rsidR="0003695A" w:rsidRPr="0003695A" w:rsidRDefault="0003695A">
      <w:pPr>
        <w:rPr>
          <w:b/>
        </w:rPr>
      </w:pPr>
      <w:r w:rsidRPr="0003695A">
        <w:rPr>
          <w:b/>
        </w:rPr>
        <w:t xml:space="preserve"> 3. Usage and Word Pictures</w:t>
      </w:r>
    </w:p>
    <w:p w14:paraId="20C5DFEE" w14:textId="77777777" w:rsidR="0003695A" w:rsidRDefault="0003695A">
      <w:r>
        <w:t xml:space="preserve">Jesus employs askos as a powerful metaphor to illustrate the radical incompatibility between the old order of Judaism and the new reality of the Gospel. </w:t>
      </w:r>
    </w:p>
    <w:p w14:paraId="6066911E" w14:textId="77777777" w:rsidR="0003695A" w:rsidRDefault="0003695A"/>
    <w:p w14:paraId="605A9AAC" w14:textId="77777777" w:rsidR="0003695A" w:rsidRDefault="0003695A">
      <w:r>
        <w:t>• The Old Wineskins: These represent the established, rigid structures of Jewish traditionalism, specifically the external religious practices, rabbinic additions, and ceremonial fasts of the Pharisees. These human-made systems had become dry, stiff, and incapable of adapting to the fresh move of God.</w:t>
      </w:r>
    </w:p>
    <w:p w14:paraId="60E252F3" w14:textId="77777777" w:rsidR="0003695A" w:rsidRDefault="0003695A">
      <w:r>
        <w:t>• The New Wine: This represents the dynamic, expanding life of the Kingdom of God, the gospel of grace, and the indwelling power of the Holy Spirit. This spiritual reality is full of life, energy, and transformative power.</w:t>
      </w:r>
    </w:p>
    <w:p w14:paraId="5ECDB6EB" w14:textId="77777777" w:rsidR="0003695A" w:rsidRDefault="0003695A">
      <w:r>
        <w:t>• The New Wineskins: These represent the fresh, flexible spiritual vessels—including the hearts of Jesus' disciples and the new communal structures of the early church—that are capable of receiving, adapting to, and preserving the dynamic work of the Holy Spirit.</w:t>
      </w:r>
    </w:p>
    <w:p w14:paraId="3B87C786" w14:textId="77777777" w:rsidR="0003695A" w:rsidRDefault="0003695A"/>
    <w:p w14:paraId="15AFD256" w14:textId="77777777" w:rsidR="0003695A" w:rsidRDefault="0003695A">
      <w:r>
        <w:t>To try to force the joy, freedom, and power of the New Covenant into the dead, legalistic forms of the Old Covenant would result in disaster: the old forms would shatter, and the precious spiritual life of the New Covenant would be wasted.</w:t>
      </w:r>
    </w:p>
    <w:p w14:paraId="45AAC38A" w14:textId="77777777" w:rsidR="0003695A" w:rsidRDefault="0003695A"/>
    <w:p w14:paraId="302142E7" w14:textId="77777777" w:rsidR="0003695A" w:rsidRPr="0003695A" w:rsidRDefault="0003695A">
      <w:pPr>
        <w:rPr>
          <w:b/>
        </w:rPr>
      </w:pPr>
      <w:r w:rsidRPr="0003695A">
        <w:rPr>
          <w:b/>
        </w:rPr>
        <w:t xml:space="preserve"> 4. Theological Implications</w:t>
      </w:r>
    </w:p>
    <w:p w14:paraId="2C45E19A" w14:textId="77777777" w:rsidR="0003695A" w:rsidRDefault="0003695A">
      <w:r>
        <w:t xml:space="preserve">The parable of the wineskins addresses the relationship between the Law and the Gospel, as well as the transition between the Old and New Covenants. </w:t>
      </w:r>
    </w:p>
    <w:p w14:paraId="4865FBC0" w14:textId="77777777" w:rsidR="0003695A" w:rsidRDefault="0003695A">
      <w:r>
        <w:t>• The Incompatibility of Grace and Legalism: Jesus did not come to patch up or patch over a broken, legalistic system. The system of merit, self-righteousness, and ceremonial legalism cannot contain the free grace of God. Trying to mix the two ruins both; legalism destroys the purity of grace, and grace dismantles the security of self-righteous legalism.</w:t>
      </w:r>
    </w:p>
    <w:p w14:paraId="01BFA1B3" w14:textId="77777777" w:rsidR="0003695A" w:rsidRDefault="0003695A">
      <w:r>
        <w:t>• The Dynamic Nature of the Kingdom: The work of Jesus is not static. It is characterized by growth, life, and movement. Church structures, traditions, and methods must always remain "pliable" (like new wineskins) so that they serve the Gospel rather than hinder the work of the Holy Spirit.</w:t>
      </w:r>
    </w:p>
    <w:p w14:paraId="48ED0D61" w14:textId="77777777" w:rsidR="0003695A" w:rsidRDefault="0003695A">
      <w:r>
        <w:t>• Preservation of Both: Jesus concludes by saying "both are preserved." The Old Covenant, in its proper biblical context, was holy, just, and good. It pointed forward to Christ. By keeping the old system distinct from the new, the purpose of the Old Covenant is honored and preserved, while the New Covenant is allowed to fulfill its ultimate, expansive purpose.</w:t>
      </w:r>
    </w:p>
    <w:p w14:paraId="7D55D275" w14:textId="77777777" w:rsidR="0003695A" w:rsidRDefault="0003695A"/>
    <w:p w14:paraId="7181C890" w14:textId="77777777" w:rsidR="0003695A" w:rsidRPr="0003695A" w:rsidRDefault="0003695A">
      <w:pPr>
        <w:rPr>
          <w:b/>
        </w:rPr>
      </w:pPr>
      <w:r w:rsidRPr="0003695A">
        <w:rPr>
          <w:b/>
        </w:rPr>
        <w:t xml:space="preserve"> 5. Contextual Nuance in the Passage</w:t>
      </w:r>
    </w:p>
    <w:p w14:paraId="160832DC" w14:textId="77777777" w:rsidR="0003695A" w:rsidRDefault="0003695A">
      <w:r>
        <w:t xml:space="preserve">In Matthew 9:14-17, the disciples of John the Baptist approach Jesus with a question: "Why do we and the Pharisees fast often, but Your disciples do not fast?" They are troubled by the lack of traditional asceticism in Jesus' ministry. </w:t>
      </w:r>
    </w:p>
    <w:p w14:paraId="6B1228D8" w14:textId="77777777" w:rsidR="0003695A" w:rsidRDefault="0003695A"/>
    <w:p w14:paraId="77DBFEAA" w14:textId="77777777" w:rsidR="0003695A" w:rsidRDefault="0003695A">
      <w:r>
        <w:t>Jesus responds with three illustrations: the wedding guests who cannot mourn while the bridegroom is with them, the unshrunk cloth on an old garment, and the new wine in old wineskins. In this context, the "old wineskins" directly represent the rigid traditionalism of fasting as a ritualistic duty. Jesus explains that His presence has brought a completely new season of joy and celebration—the messianic banquet has begun. To force His disciples to conform to the somber, ritualistic fasts of the Pharisees would be like pouring explosive new wine into brittle, dried-out leather. The old forms simply cannot contain the joy of the Savior's presence.</w:t>
      </w:r>
    </w:p>
    <w:p w14:paraId="327C9EEB" w14:textId="77777777" w:rsidR="0003695A" w:rsidRDefault="0003695A"/>
    <w:p w14:paraId="2053750C" w14:textId="77777777" w:rsidR="0003695A" w:rsidRPr="0003695A" w:rsidRDefault="0003695A">
      <w:pPr>
        <w:rPr>
          <w:b/>
        </w:rPr>
      </w:pPr>
      <w:r w:rsidRPr="0003695A">
        <w:rPr>
          <w:b/>
        </w:rPr>
        <w:t xml:space="preserve"> 6. Key Uses in Other Verses (NKJV)</w:t>
      </w:r>
    </w:p>
    <w:p w14:paraId="4C0E9B90" w14:textId="77777777" w:rsidR="0003695A" w:rsidRDefault="0003695A">
      <w:r>
        <w:t>• Matthew 9:17: "Nor do they put new wine into old wineskins, or else the wineskins break, the wine is spilled, and the wineskins are ruined. But they put new wine into new wineskins, and both are preserved."</w:t>
      </w:r>
    </w:p>
    <w:p w14:paraId="3D3139BC" w14:textId="77777777" w:rsidR="0003695A" w:rsidRDefault="0003695A">
      <w:r>
        <w:t>• Mark 2:22: "And no one puts new wine into old wineskins; or else the new wine bursts the wineskins, the wine is spilled, and the wineskins are ruined. But new wine must be put into new wineskins."</w:t>
      </w:r>
    </w:p>
    <w:p w14:paraId="715C4477" w14:textId="77777777" w:rsidR="0003695A" w:rsidRDefault="0003695A">
      <w:r>
        <w:t>• Luke 5:37-38: "And no one puts new wine into old wineskins; or else the new wine will burst the wineskins and be spilled, and the wineskins will be ruined. But new wine must be put into new wineskins, and both are preserved."</w:t>
      </w:r>
    </w:p>
    <w:p w14:paraId="62949017" w14:textId="77777777" w:rsidR="0003695A" w:rsidRDefault="0003695A"/>
    <w:p w14:paraId="61EC286F" w14:textId="77777777" w:rsidR="0003695A" w:rsidRPr="0003695A" w:rsidRDefault="0003695A">
      <w:pPr>
        <w:rPr>
          <w:b/>
        </w:rPr>
      </w:pPr>
      <w:r w:rsidRPr="0003695A">
        <w:rPr>
          <w:b/>
        </w:rPr>
        <w:t xml:space="preserve"> 7. Other Relevant Insights</w:t>
      </w:r>
    </w:p>
    <w:p w14:paraId="70D07B55" w14:textId="77777777" w:rsidR="0003695A" w:rsidRDefault="0003695A">
      <w:r>
        <w:t>• The Psalm 119 Parallel: In Psalm 119:83, the psalmist writes, "For I have become like a wineskin in the smoke, yet I do not forget Your statutes." A wineskin hung in the smoke of an ancient tent would quickly become black, dried out, shriveled, and useless. The psalmist expresses his feelings of affliction, emptiness, and physical decline, yet trusts in God's renewing Word.</w:t>
      </w:r>
    </w:p>
    <w:p w14:paraId="10BC25C0" w14:textId="77777777" w:rsidR="0003695A" w:rsidRDefault="0003695A">
      <w:r>
        <w:t>• Job's Metaphor: In Job 32:19, Elihu describes his intense internal compulsion to speak: "Indeed my belly is like wine that has no vent; it is ready to burst like new wineskins." This reinforces the ancient understanding of the extreme pressure generated by fermenting liquids.</w:t>
      </w:r>
    </w:p>
    <w:p w14:paraId="0C19E253" w14:textId="77777777" w:rsidR="0003695A" w:rsidRDefault="0003695A">
      <w:r>
        <w:t>• Gibeonites' Deception: In Joshua 9:4 and 9:13, the Gibeonites use "old, torn, and mended" wineskins to convince Joshua and the leaders of Israel that they have traveled from a very distant land, demonstrating that torn wineskins were a clear sign of age, wear, and long journeys.</w:t>
      </w:r>
    </w:p>
    <w:p w14:paraId="6B0F1F5A" w14:textId="77777777" w:rsidR="0003695A" w:rsidRDefault="0003695A"/>
    <w:p w14:paraId="3B5A9357" w14:textId="77777777" w:rsidR="0003695A" w:rsidRPr="0003695A" w:rsidRDefault="0003695A">
      <w:pPr>
        <w:rPr>
          <w:b/>
        </w:rPr>
      </w:pPr>
      <w:r w:rsidRPr="0003695A">
        <w:rPr>
          <w:b/>
        </w:rPr>
        <w:t xml:space="preserve"> 8. References</w:t>
      </w:r>
    </w:p>
    <w:p w14:paraId="70436FF0" w14:textId="77777777" w:rsidR="0003695A" w:rsidRDefault="0003695A">
      <w:r>
        <w:t>• Bauer, Walter, William F. Arndt, F. Wilbur Gingrich, and Frederick W. Danker. A Greek-English Lexicon of the New Testament and Other Early Christian Literature.</w:t>
      </w:r>
    </w:p>
    <w:p w14:paraId="03BB5D37" w14:textId="77777777" w:rsidR="0003695A" w:rsidRDefault="0003695A">
      <w:r>
        <w:t>• Kittel, Gerhard, and Gerhard Friedrich, eds. Theological Dictionary of the New Testament.</w:t>
      </w:r>
    </w:p>
    <w:p w14:paraId="32E5E4EF" w14:textId="77777777" w:rsidR="0003695A" w:rsidRDefault="0003695A">
      <w:r>
        <w:t>• Vine, W.E. Expository Dictionary of New Testament Words.</w:t>
      </w:r>
    </w:p>
    <w:p w14:paraId="00BBD33F" w14:textId="77777777" w:rsidR="0003695A" w:rsidRDefault="0003695A">
      <w:r>
        <w:t>• Blue Letter Bible.</w:t>
      </w:r>
    </w:p>
    <w:p w14:paraId="002F573F" w14:textId="40A3B7E2" w:rsidR="004C5552" w:rsidRDefault="0003695A">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95A"/>
    <w:rsid w:val="00017747"/>
    <w:rsid w:val="00023A4A"/>
    <w:rsid w:val="0003695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AB0DC"/>
  <w15:chartTrackingRefBased/>
  <w15:docId w15:val="{14E0BDBA-FC4C-4C51-A558-12DC03A3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6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6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95A"/>
    <w:rPr>
      <w:rFonts w:eastAsiaTheme="majorEastAsia" w:cstheme="majorBidi"/>
      <w:color w:val="272727" w:themeColor="text1" w:themeTint="D8"/>
    </w:rPr>
  </w:style>
  <w:style w:type="paragraph" w:styleId="Title">
    <w:name w:val="Title"/>
    <w:basedOn w:val="Normal"/>
    <w:next w:val="Normal"/>
    <w:link w:val="TitleChar"/>
    <w:uiPriority w:val="10"/>
    <w:qFormat/>
    <w:rsid w:val="00036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95A"/>
    <w:pPr>
      <w:spacing w:before="160"/>
      <w:jc w:val="center"/>
    </w:pPr>
    <w:rPr>
      <w:i/>
      <w:iCs/>
      <w:color w:val="404040" w:themeColor="text1" w:themeTint="BF"/>
    </w:rPr>
  </w:style>
  <w:style w:type="character" w:customStyle="1" w:styleId="QuoteChar">
    <w:name w:val="Quote Char"/>
    <w:basedOn w:val="DefaultParagraphFont"/>
    <w:link w:val="Quote"/>
    <w:uiPriority w:val="29"/>
    <w:rsid w:val="0003695A"/>
    <w:rPr>
      <w:i/>
      <w:iCs/>
      <w:color w:val="404040" w:themeColor="text1" w:themeTint="BF"/>
    </w:rPr>
  </w:style>
  <w:style w:type="paragraph" w:styleId="ListParagraph">
    <w:name w:val="List Paragraph"/>
    <w:basedOn w:val="Normal"/>
    <w:uiPriority w:val="34"/>
    <w:qFormat/>
    <w:rsid w:val="0003695A"/>
    <w:pPr>
      <w:ind w:left="720"/>
      <w:contextualSpacing/>
    </w:pPr>
  </w:style>
  <w:style w:type="character" w:styleId="IntenseEmphasis">
    <w:name w:val="Intense Emphasis"/>
    <w:basedOn w:val="DefaultParagraphFont"/>
    <w:uiPriority w:val="21"/>
    <w:qFormat/>
    <w:rsid w:val="0003695A"/>
    <w:rPr>
      <w:i/>
      <w:iCs/>
      <w:color w:val="2E74B5" w:themeColor="accent1" w:themeShade="BF"/>
    </w:rPr>
  </w:style>
  <w:style w:type="paragraph" w:styleId="IntenseQuote">
    <w:name w:val="Intense Quote"/>
    <w:basedOn w:val="Normal"/>
    <w:next w:val="Normal"/>
    <w:link w:val="IntenseQuoteChar"/>
    <w:uiPriority w:val="30"/>
    <w:qFormat/>
    <w:rsid w:val="000369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695A"/>
    <w:rPr>
      <w:i/>
      <w:iCs/>
      <w:color w:val="2E74B5" w:themeColor="accent1" w:themeShade="BF"/>
    </w:rPr>
  </w:style>
  <w:style w:type="character" w:styleId="IntenseReference">
    <w:name w:val="Intense Reference"/>
    <w:basedOn w:val="DefaultParagraphFont"/>
    <w:uiPriority w:val="32"/>
    <w:qFormat/>
    <w:rsid w:val="000369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1304</Words>
  <Characters>6781</Characters>
  <Application>Microsoft Office Word</Application>
  <DocSecurity>0</DocSecurity>
  <Lines>130</Lines>
  <Paragraphs>70</Paragraphs>
  <ScaleCrop>false</ScaleCrop>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2026-08-13T02:43:00Z</dcterms:modified>
</cp:coreProperties>
</file>