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8877" w14:textId="77777777" w:rsidR="00463B00" w:rsidRPr="00463B00" w:rsidRDefault="00463B00">
      <w:pPr>
        <w:rPr>
          <w:b/>
        </w:rPr>
      </w:pPr>
      <w:r w:rsidRPr="00463B00">
        <w:rPr>
          <w:b/>
        </w:rPr>
        <w:t>SHOWBREAD - ( prothesis , Strong's G4286 )</w:t>
      </w:r>
    </w:p>
    <w:p w14:paraId="3EA21F6A" w14:textId="77777777" w:rsidR="00463B00" w:rsidRDefault="00463B00">
      <w:r w:rsidRPr="00463B00">
        <w:rPr>
          <w:b/>
        </w:rPr>
        <w:t>Summary:</w:t>
      </w:r>
    </w:p>
    <w:p w14:paraId="39D654D6" w14:textId="77777777" w:rsidR="00463B00" w:rsidRPr="00463B00" w:rsidRDefault="00463B00">
      <w:pPr>
        <w:rPr>
          <w:b/>
        </w:rPr>
      </w:pPr>
      <w:r w:rsidRPr="00463B00">
        <w:rPr>
          <w:b/>
        </w:rPr>
        <w:t>The English word "showbread" translates a Greek phrase literally meaning "the loaves of presentation" or "the bread of setting forth." In its Old Testament origin, it refers to the twelve sacred loaves placed weekly on the golden table in the Tabernacle's Holy Place, symbolizing God's constant presence, provision, and covenant fellowship with the twelve tribes of Israel. In Matthew 12:4, Jesus references King David eating this restricted, holy bread during an emergency to demonstrate that ceremonial and ritual laws must yield to human necessity and the weightier matters of mercy. This serves to reveal Jesus' authority as the Lord of the Sabbath and the ultimate source of spiritual nourishment.</w:t>
      </w:r>
    </w:p>
    <w:p w14:paraId="7629BE3B" w14:textId="77777777" w:rsidR="00463B00" w:rsidRDefault="00463B00"/>
    <w:p w14:paraId="0AA4E4B8" w14:textId="77777777" w:rsidR="00463B00" w:rsidRDefault="00463B00">
      <w:r w:rsidRPr="00463B00">
        <w:rPr>
          <w:b/>
        </w:rPr>
        <w:t>Full Study:</w:t>
      </w:r>
    </w:p>
    <w:p w14:paraId="276DC784" w14:textId="77777777" w:rsidR="00463B00" w:rsidRDefault="00463B00"/>
    <w:p w14:paraId="428D3887" w14:textId="77777777" w:rsidR="00463B00" w:rsidRPr="00463B00" w:rsidRDefault="00463B00">
      <w:pPr>
        <w:rPr>
          <w:b/>
        </w:rPr>
      </w:pPr>
      <w:r w:rsidRPr="00463B00">
        <w:rPr>
          <w:b/>
        </w:rPr>
        <w:t xml:space="preserve"> 1. Word Picture / Background</w:t>
      </w:r>
    </w:p>
    <w:p w14:paraId="4C1BC15C" w14:textId="77777777" w:rsidR="00463B00" w:rsidRDefault="00463B00">
      <w:r>
        <w:t xml:space="preserve">In the Old Testament tabernacle and temple worship, the showbread was known in Hebrew as lechem hapanyim, which literally translates to "bread of the faces" or "bread of the presence." Twelve loaves of unleavened bread, representing the twelve tribes of Israel, were arranged in two rows of six on a specially designed table of acacia wood overlaid with pure gold. </w:t>
      </w:r>
    </w:p>
    <w:p w14:paraId="24CACCB2" w14:textId="77777777" w:rsidR="00463B00" w:rsidRDefault="00463B00"/>
    <w:p w14:paraId="4472701A" w14:textId="77777777" w:rsidR="00463B00" w:rsidRDefault="00463B00">
      <w:r>
        <w:t>This bread remained in the Holy Place before the veil of the Holy of Holies for seven days, continually exposed to the light of the golden lampstand. Every Sabbath, the priests replaced the old loaves with fresh ones. The removed loaves were holy and could only be eaten by the officiating priests inside the sanctuary. This ritual served as a perpetual visual reminder of God's covenant, His provision of physical and spiritual food, and the invitation for His people to dwell and feast in His direct presence.</w:t>
      </w:r>
    </w:p>
    <w:p w14:paraId="366A5CB1" w14:textId="77777777" w:rsidR="00463B00" w:rsidRDefault="00463B00"/>
    <w:p w14:paraId="35504444" w14:textId="77777777" w:rsidR="00463B00" w:rsidRPr="00463B00" w:rsidRDefault="00463B00">
      <w:pPr>
        <w:rPr>
          <w:b/>
        </w:rPr>
      </w:pPr>
      <w:r w:rsidRPr="00463B00">
        <w:rPr>
          <w:b/>
        </w:rPr>
        <w:t xml:space="preserve"> 2. Meaning / Lexical Definition</w:t>
      </w:r>
    </w:p>
    <w:p w14:paraId="040DAD6C" w14:textId="77777777" w:rsidR="00463B00" w:rsidRDefault="00463B00">
      <w:r>
        <w:t xml:space="preserve">The Greek noun prothesis derives from the verb protithemi, which means "to place before" or "to set forth." </w:t>
      </w:r>
    </w:p>
    <w:p w14:paraId="15AE4910" w14:textId="77777777" w:rsidR="00463B00" w:rsidRDefault="00463B00"/>
    <w:p w14:paraId="58A4106C" w14:textId="77777777" w:rsidR="00463B00" w:rsidRDefault="00463B00">
      <w:r>
        <w:t>• In a general sense, the noun means "a setting forth," "presentation," "proposal," or "purpose."</w:t>
      </w:r>
    </w:p>
    <w:p w14:paraId="3F6E5417" w14:textId="77777777" w:rsidR="00463B00" w:rsidRDefault="00463B00">
      <w:r>
        <w:t>• In biblical and liturgical contexts, when joined with artoi (loaves/bread), it refers specifically to the consecrated bread of the sanctuary—literally, "the loaves of presentation."</w:t>
      </w:r>
    </w:p>
    <w:p w14:paraId="46008176" w14:textId="77777777" w:rsidR="00463B00" w:rsidRDefault="00463B00">
      <w:r>
        <w:t>• Outside of this ritual usage, prothesis refers to a deliberate plan, resolve, or design, particularly God's sovereign, eternal saving "purpose" (as seen in Romans 8:28 and Ephesians 1:11).</w:t>
      </w:r>
    </w:p>
    <w:p w14:paraId="1198E7DC" w14:textId="77777777" w:rsidR="00463B00" w:rsidRDefault="00463B00"/>
    <w:p w14:paraId="518D779E" w14:textId="77777777" w:rsidR="00463B00" w:rsidRPr="00463B00" w:rsidRDefault="00463B00">
      <w:pPr>
        <w:rPr>
          <w:b/>
        </w:rPr>
      </w:pPr>
      <w:r w:rsidRPr="00463B00">
        <w:rPr>
          <w:b/>
        </w:rPr>
        <w:t xml:space="preserve"> 3. Usage and Word Pictures</w:t>
      </w:r>
    </w:p>
    <w:p w14:paraId="28210F81" w14:textId="77777777" w:rsidR="00463B00" w:rsidRDefault="00463B00">
      <w:r>
        <w:t>The use of prothesis for the showbread paints a rich theological picture of divine-human relationship:</w:t>
      </w:r>
    </w:p>
    <w:p w14:paraId="781DBFBF" w14:textId="77777777" w:rsidR="00463B00" w:rsidRDefault="00463B00">
      <w:r>
        <w:t>• The Table of Communion: Eating bread together in the ancient Near East was the ultimate covenant sign of peace and fellowship. The showbread table was a perpetual invitation to communion with God.</w:t>
      </w:r>
    </w:p>
    <w:p w14:paraId="698E36D1" w14:textId="77777777" w:rsidR="00463B00" w:rsidRDefault="00463B00">
      <w:r>
        <w:t>• The Bread of the Presence: Because the bread sat directly before the Ark of the Covenant, it was viewed as being in the immediate sight of God's "face" (panim).</w:t>
      </w:r>
    </w:p>
    <w:p w14:paraId="59401350" w14:textId="77777777" w:rsidR="00463B00" w:rsidRDefault="00463B00">
      <w:r>
        <w:t>• Sovereign Purpose: The connection between the showbread (prothesis) and God's eternal purpose (prothesis) suggests that God's ultimate plan has always been to present Himself as the source of life and fellowship for His people.</w:t>
      </w:r>
    </w:p>
    <w:p w14:paraId="32E1867C" w14:textId="77777777" w:rsidR="00463B00" w:rsidRDefault="00463B00"/>
    <w:p w14:paraId="0CA34581" w14:textId="77777777" w:rsidR="00463B00" w:rsidRPr="00463B00" w:rsidRDefault="00463B00">
      <w:pPr>
        <w:rPr>
          <w:b/>
        </w:rPr>
      </w:pPr>
      <w:r w:rsidRPr="00463B00">
        <w:rPr>
          <w:b/>
        </w:rPr>
        <w:t xml:space="preserve"> 4. Theological Implications</w:t>
      </w:r>
    </w:p>
    <w:p w14:paraId="21565995" w14:textId="77777777" w:rsidR="00463B00" w:rsidRDefault="00463B00">
      <w:r>
        <w:t>The showbread holds profound christological and covenantal significance:</w:t>
      </w:r>
    </w:p>
    <w:p w14:paraId="5922A96E" w14:textId="77777777" w:rsidR="00463B00" w:rsidRDefault="00463B00">
      <w:r>
        <w:t>• Jesus as the True Bread: The physical loaves point to Jesus Christ, who declared Himself to be the "Bread of Life" (John 6:35). He is the true presentation of God's presence, come down from heaven to give life to the world.</w:t>
      </w:r>
    </w:p>
    <w:p w14:paraId="14AE1318" w14:textId="77777777" w:rsidR="00463B00" w:rsidRDefault="00463B00">
      <w:r>
        <w:t>• The Priority of Mercy over Ritual: The regulations surrounding the showbread were holy, but they were not absolute when human life was at stake. God values the preservation of life and the showing of mercy over the rigid execution of ceremonial law.</w:t>
      </w:r>
    </w:p>
    <w:p w14:paraId="667CF13B" w14:textId="77777777" w:rsidR="00463B00" w:rsidRDefault="00463B00">
      <w:r>
        <w:t>• The Royal Priesthood: In the Old Covenant, only the Levitical priests could eat the showbread. Through Christ's redemptive work, all believers are made a royal priesthood, granted direct access to the Holy Place and the spiritual food of God's presence.</w:t>
      </w:r>
    </w:p>
    <w:p w14:paraId="31FF55AD" w14:textId="77777777" w:rsidR="00463B00" w:rsidRDefault="00463B00"/>
    <w:p w14:paraId="6732443D" w14:textId="77777777" w:rsidR="00463B00" w:rsidRPr="00463B00" w:rsidRDefault="00463B00">
      <w:pPr>
        <w:rPr>
          <w:b/>
        </w:rPr>
      </w:pPr>
      <w:r w:rsidRPr="00463B00">
        <w:rPr>
          <w:b/>
        </w:rPr>
        <w:t xml:space="preserve"> 5. Contextual Nuance in the Passage (Matthew 12:4)</w:t>
      </w:r>
    </w:p>
    <w:p w14:paraId="1DA9629E" w14:textId="77777777" w:rsidR="00463B00" w:rsidRDefault="00463B00">
      <w:r>
        <w:t xml:space="preserve">In Matthew 12:1–8, the Pharisees accuse Jesus’ disciples of breaking the Sabbath because they plucked and ate heads of grain while walking through a field. Jesus defends His disciples by appealing to the historical narrative of David in 1 Samuel 21. </w:t>
      </w:r>
    </w:p>
    <w:p w14:paraId="54E01F52" w14:textId="77777777" w:rsidR="00463B00" w:rsidRDefault="00463B00"/>
    <w:p w14:paraId="47569590" w14:textId="77777777" w:rsidR="00463B00" w:rsidRDefault="00463B00">
      <w:r>
        <w:t xml:space="preserve">When fleeing from Saul, a hungry David and his companions entered the house of God and were given the holy showbread by the priest Ahimelech. Strictly speaking, the ceremonial law restricted this bread to the priests. However, the priest recognized that meeting the urgent physical need of God's anointed king and his men superseded the ceremonial restriction. </w:t>
      </w:r>
    </w:p>
    <w:p w14:paraId="2F37A212" w14:textId="77777777" w:rsidR="00463B00" w:rsidRDefault="00463B00"/>
    <w:p w14:paraId="4ED739BE" w14:textId="77777777" w:rsidR="00463B00" w:rsidRDefault="00463B00">
      <w:r>
        <w:t>Jesus uses this event to build an a fortiori (from the lesser to the greater) argument: If the hunger of David and his men justified setting aside the strict ceremonial laws of the showbread, how much more does the hunger of the disciples of the true Messiah justify their action on the Sabbath? Jesus highlights that the temple rituals—including the showbread—point to Him. He is "greater than the temple" and is "Lord of the Sabbath" (Matthew 12:6, 8).</w:t>
      </w:r>
    </w:p>
    <w:p w14:paraId="7019C7AF" w14:textId="77777777" w:rsidR="00463B00" w:rsidRDefault="00463B00"/>
    <w:p w14:paraId="4FEEB947" w14:textId="77777777" w:rsidR="00463B00" w:rsidRPr="00463B00" w:rsidRDefault="00463B00">
      <w:pPr>
        <w:rPr>
          <w:b/>
        </w:rPr>
      </w:pPr>
      <w:r w:rsidRPr="00463B00">
        <w:rPr>
          <w:b/>
        </w:rPr>
        <w:t xml:space="preserve"> 6. Key Uses in Other Verses (NKJV)</w:t>
      </w:r>
    </w:p>
    <w:p w14:paraId="1AEBD440" w14:textId="77777777" w:rsidR="00463B00" w:rsidRDefault="00463B00">
      <w:r>
        <w:t>• Matthew 12:4: "...how he entered the house of God and ate the showbread which was not lawful for him to eat, nor for those who were with him, but only for the priests?"</w:t>
      </w:r>
    </w:p>
    <w:p w14:paraId="3336E6BB" w14:textId="77777777" w:rsidR="00463B00" w:rsidRDefault="00463B00">
      <w:r>
        <w:t>• Mark 2:26: "...how he went into the house of God in the days of Abiathar the high priest, and ate the showbread, which it is not lawful to eat except for the priests, and also gave to those who were with him?"</w:t>
      </w:r>
    </w:p>
    <w:p w14:paraId="62D7ED29" w14:textId="77777777" w:rsidR="00463B00" w:rsidRDefault="00463B00">
      <w:r>
        <w:t>• Luke 6:4: "...how he went into the house of God, took and ate the showbread, and also gave some to those with him, which it is not lawful for anyone to eat but for the priests alone?"</w:t>
      </w:r>
    </w:p>
    <w:p w14:paraId="1D140149" w14:textId="77777777" w:rsidR="00463B00" w:rsidRDefault="00463B00">
      <w:r>
        <w:t>• Hebrews 9:2: "For a tabernacle was prepared: the first part, in which was the lampstand, the table, and the showbread, which is called the sanctuary;"</w:t>
      </w:r>
    </w:p>
    <w:p w14:paraId="4FE56BDB" w14:textId="77777777" w:rsidR="00463B00" w:rsidRDefault="00463B00"/>
    <w:p w14:paraId="34406531" w14:textId="77777777" w:rsidR="00463B00" w:rsidRPr="00463B00" w:rsidRDefault="00463B00">
      <w:pPr>
        <w:rPr>
          <w:b/>
        </w:rPr>
      </w:pPr>
      <w:r w:rsidRPr="00463B00">
        <w:rPr>
          <w:b/>
        </w:rPr>
        <w:t xml:space="preserve"> 7. Other Relevant Insights</w:t>
      </w:r>
    </w:p>
    <w:p w14:paraId="42A47321" w14:textId="77777777" w:rsidR="00463B00" w:rsidRDefault="00463B00">
      <w:r>
        <w:t>• The Twelve Loaves: The twelve loaves were prepared from fine flour, representing the perfect, sinless humanity of Christ, and the unified representation of God's entire covenant community.</w:t>
      </w:r>
    </w:p>
    <w:p w14:paraId="1748F1C8" w14:textId="77777777" w:rsidR="00463B00" w:rsidRDefault="00463B00">
      <w:r>
        <w:t>• Frankincense on the Bread: Leviticus 24:7 indicates that pure frankincense was placed on each row of bread, which was burned on the altar of incense as a memorial portion, representing the pleasing aroma of prayers and worship rising to God from His people.</w:t>
      </w:r>
    </w:p>
    <w:p w14:paraId="0B8B27CB" w14:textId="77777777" w:rsidR="00463B00" w:rsidRDefault="00463B00">
      <w:r>
        <w:t>• The Double Nuance of Prothesis: In classical Greek, the word was used for exposing a corpse for public viewing or setting out items for public sale. In the Septuagint and New Testament, it is elevated to describe the sacred setting forth of the bread of God's presence and the setting forth of His redemptive decree.</w:t>
      </w:r>
    </w:p>
    <w:p w14:paraId="4723CA55" w14:textId="77777777" w:rsidR="00463B00" w:rsidRDefault="00463B00"/>
    <w:p w14:paraId="3EE7A603" w14:textId="77777777" w:rsidR="00463B00" w:rsidRPr="00463B00" w:rsidRDefault="00463B00">
      <w:pPr>
        <w:rPr>
          <w:b/>
        </w:rPr>
      </w:pPr>
      <w:r w:rsidRPr="00463B00">
        <w:rPr>
          <w:b/>
        </w:rPr>
        <w:t xml:space="preserve"> 8. References</w:t>
      </w:r>
    </w:p>
    <w:p w14:paraId="2D715A7A" w14:textId="77777777" w:rsidR="00463B00" w:rsidRDefault="00463B00">
      <w:r>
        <w:t>• BDAG</w:t>
      </w:r>
    </w:p>
    <w:p w14:paraId="15EBD112" w14:textId="77777777" w:rsidR="00463B00" w:rsidRDefault="00463B00">
      <w:r>
        <w:t>• Thayer's Greek-English Lexicon</w:t>
      </w:r>
    </w:p>
    <w:p w14:paraId="77D3A0F6" w14:textId="77777777" w:rsidR="00463B00" w:rsidRDefault="00463B00">
      <w:r>
        <w:t>• Vine's Expository Dictionary of New Testament Words</w:t>
      </w:r>
    </w:p>
    <w:p w14:paraId="15E65553" w14:textId="77777777" w:rsidR="00463B00" w:rsidRDefault="00463B00">
      <w:r>
        <w:t>• Blue Letter Bible</w:t>
      </w:r>
    </w:p>
    <w:p w14:paraId="3234D89A" w14:textId="4063FCE9" w:rsidR="004C5552" w:rsidRDefault="00463B0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63B0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B797"/>
  <w15:chartTrackingRefBased/>
  <w15:docId w15:val="{EEA09121-61E0-4F4A-819D-23A6DA0A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00"/>
    <w:rPr>
      <w:rFonts w:eastAsiaTheme="majorEastAsia" w:cstheme="majorBidi"/>
      <w:color w:val="272727" w:themeColor="text1" w:themeTint="D8"/>
    </w:rPr>
  </w:style>
  <w:style w:type="paragraph" w:styleId="Title">
    <w:name w:val="Title"/>
    <w:basedOn w:val="Normal"/>
    <w:next w:val="Normal"/>
    <w:link w:val="TitleChar"/>
    <w:uiPriority w:val="10"/>
    <w:qFormat/>
    <w:rsid w:val="0046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00"/>
    <w:pPr>
      <w:spacing w:before="160"/>
      <w:jc w:val="center"/>
    </w:pPr>
    <w:rPr>
      <w:i/>
      <w:iCs/>
      <w:color w:val="404040" w:themeColor="text1" w:themeTint="BF"/>
    </w:rPr>
  </w:style>
  <w:style w:type="character" w:customStyle="1" w:styleId="QuoteChar">
    <w:name w:val="Quote Char"/>
    <w:basedOn w:val="DefaultParagraphFont"/>
    <w:link w:val="Quote"/>
    <w:uiPriority w:val="29"/>
    <w:rsid w:val="00463B00"/>
    <w:rPr>
      <w:i/>
      <w:iCs/>
      <w:color w:val="404040" w:themeColor="text1" w:themeTint="BF"/>
    </w:rPr>
  </w:style>
  <w:style w:type="paragraph" w:styleId="ListParagraph">
    <w:name w:val="List Paragraph"/>
    <w:basedOn w:val="Normal"/>
    <w:uiPriority w:val="34"/>
    <w:qFormat/>
    <w:rsid w:val="00463B00"/>
    <w:pPr>
      <w:ind w:left="720"/>
      <w:contextualSpacing/>
    </w:pPr>
  </w:style>
  <w:style w:type="character" w:styleId="IntenseEmphasis">
    <w:name w:val="Intense Emphasis"/>
    <w:basedOn w:val="DefaultParagraphFont"/>
    <w:uiPriority w:val="21"/>
    <w:qFormat/>
    <w:rsid w:val="00463B00"/>
    <w:rPr>
      <w:i/>
      <w:iCs/>
      <w:color w:val="2E74B5" w:themeColor="accent1" w:themeShade="BF"/>
    </w:rPr>
  </w:style>
  <w:style w:type="paragraph" w:styleId="IntenseQuote">
    <w:name w:val="Intense Quote"/>
    <w:basedOn w:val="Normal"/>
    <w:next w:val="Normal"/>
    <w:link w:val="IntenseQuoteChar"/>
    <w:uiPriority w:val="30"/>
    <w:qFormat/>
    <w:rsid w:val="00463B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3B00"/>
    <w:rPr>
      <w:i/>
      <w:iCs/>
      <w:color w:val="2E74B5" w:themeColor="accent1" w:themeShade="BF"/>
    </w:rPr>
  </w:style>
  <w:style w:type="character" w:styleId="IntenseReference">
    <w:name w:val="Intense Reference"/>
    <w:basedOn w:val="DefaultParagraphFont"/>
    <w:uiPriority w:val="32"/>
    <w:qFormat/>
    <w:rsid w:val="00463B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5606</Characters>
  <Application>Microsoft Office Word</Application>
  <DocSecurity>0</DocSecurity>
  <Lines>107</Lines>
  <Paragraphs>58</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