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B6D7" w14:textId="77777777" w:rsidR="00DB7AAE" w:rsidRPr="00DB7AAE" w:rsidRDefault="00DB7AAE">
      <w:pPr>
        <w:rPr>
          <w:b/>
        </w:rPr>
      </w:pPr>
      <w:r w:rsidRPr="00DB7AAE">
        <w:rPr>
          <w:b/>
        </w:rPr>
        <w:t>BUNDLES - ( desme, Strong's G1197 )</w:t>
      </w:r>
    </w:p>
    <w:p w14:paraId="31FF6C02" w14:textId="77777777" w:rsidR="00DB7AAE" w:rsidRDefault="00DB7AAE">
      <w:r w:rsidRPr="00DB7AAE">
        <w:rPr>
          <w:b/>
        </w:rPr>
        <w:t>Summary:</w:t>
      </w:r>
    </w:p>
    <w:p w14:paraId="1647BDD2" w14:textId="77777777" w:rsidR="00DB7AAE" w:rsidRDefault="00DB7AAE">
      <w:r>
        <w:t>The Greek word desme refers to a bundle, sheaf, or binding together of items, functioning in its biblical context as an agrarian image of judgment where weeds are tied together for destruction before the wheat is gathered into the barn.</w:t>
      </w:r>
    </w:p>
    <w:p w14:paraId="00183905" w14:textId="77777777" w:rsidR="00DB7AAE" w:rsidRDefault="00DB7AAE"/>
    <w:p w14:paraId="66D97CF0" w14:textId="77777777" w:rsidR="00DB7AAE" w:rsidRDefault="00DB7AAE">
      <w:r w:rsidRPr="00DB7AAE">
        <w:rPr>
          <w:b/>
        </w:rPr>
        <w:t>Full Study:</w:t>
      </w:r>
    </w:p>
    <w:p w14:paraId="1570A9EB" w14:textId="77777777" w:rsidR="00DB7AAE" w:rsidRDefault="00DB7AAE"/>
    <w:p w14:paraId="31F284D9" w14:textId="77777777" w:rsidR="00DB7AAE" w:rsidRPr="00DB7AAE" w:rsidRDefault="00DB7AAE">
      <w:pPr>
        <w:rPr>
          <w:b/>
        </w:rPr>
      </w:pPr>
      <w:r w:rsidRPr="00DB7AAE">
        <w:rPr>
          <w:b/>
        </w:rPr>
        <w:t>1. Word Picture / Background</w:t>
      </w:r>
    </w:p>
    <w:p w14:paraId="76259A23" w14:textId="77777777" w:rsidR="00DB7AAE" w:rsidRDefault="00DB7AAE">
      <w:r>
        <w:t>- Derived from a root meaning to bind, tie, or fasten, desme evokes the physical action of gathering loose stalks of grain or weeds in the harvest field.</w:t>
      </w:r>
    </w:p>
    <w:p w14:paraId="066109DF" w14:textId="77777777" w:rsidR="00DB7AAE" w:rsidRDefault="00DB7AAE">
      <w:r>
        <w:t>- In ancient agricultural practices, reapers would first bind the weeds (tares or darnel) into bundles so they could be easily carried off and burned without scattering seeds back into the soil, long before the valuable wheat was safely stored.</w:t>
      </w:r>
    </w:p>
    <w:p w14:paraId="317CB4D3" w14:textId="77777777" w:rsidR="00DB7AAE" w:rsidRDefault="00DB7AAE"/>
    <w:p w14:paraId="47F0CCF8" w14:textId="77777777" w:rsidR="00DB7AAE" w:rsidRPr="00DB7AAE" w:rsidRDefault="00DB7AAE">
      <w:pPr>
        <w:rPr>
          <w:b/>
        </w:rPr>
      </w:pPr>
      <w:r w:rsidRPr="00DB7AAE">
        <w:rPr>
          <w:b/>
        </w:rPr>
        <w:t>2. Meaning / Lexical Definition</w:t>
      </w:r>
    </w:p>
    <w:p w14:paraId="7257E1AD" w14:textId="77777777" w:rsidR="00DB7AAE" w:rsidRDefault="00DB7AAE">
      <w:r>
        <w:t>- Desme denotes a bundle, a collection of things tied together, or a sheaf.</w:t>
      </w:r>
    </w:p>
    <w:p w14:paraId="44C5BA55" w14:textId="77777777" w:rsidR="00DB7AAE" w:rsidRDefault="00DB7AAE">
      <w:r>
        <w:t>- It emphasizes corporate association and destiny—items bound together share the exact same immediate handling and final destination.</w:t>
      </w:r>
    </w:p>
    <w:p w14:paraId="7E0F9A9C" w14:textId="77777777" w:rsidR="00DB7AAE" w:rsidRDefault="00DB7AAE"/>
    <w:p w14:paraId="40DC810A" w14:textId="77777777" w:rsidR="00DB7AAE" w:rsidRPr="00DB7AAE" w:rsidRDefault="00DB7AAE">
      <w:pPr>
        <w:rPr>
          <w:b/>
        </w:rPr>
      </w:pPr>
      <w:r w:rsidRPr="00DB7AAE">
        <w:rPr>
          <w:b/>
        </w:rPr>
        <w:t>3. Usage and Word Pictures</w:t>
      </w:r>
    </w:p>
    <w:p w14:paraId="5415D8F3" w14:textId="77777777" w:rsidR="00DB7AAE" w:rsidRDefault="00DB7AAE">
      <w:r>
        <w:t xml:space="preserve">- The term carries a stark judicial and separating tone in its New Testament usage. </w:t>
      </w:r>
    </w:p>
    <w:p w14:paraId="1B2ECB3E" w14:textId="77777777" w:rsidR="00DB7AAE" w:rsidRDefault="00DB7AAE">
      <w:r>
        <w:t>- It illustrates preparation for destruction; what is bound together in bundle-form has been marked out as useless or harmful, destined for the fire rather than the granary.</w:t>
      </w:r>
    </w:p>
    <w:p w14:paraId="11C4535C" w14:textId="77777777" w:rsidR="00DB7AAE" w:rsidRDefault="00DB7AAE"/>
    <w:p w14:paraId="136D2FA8" w14:textId="77777777" w:rsidR="00DB7AAE" w:rsidRPr="00DB7AAE" w:rsidRDefault="00DB7AAE">
      <w:pPr>
        <w:rPr>
          <w:b/>
        </w:rPr>
      </w:pPr>
      <w:r w:rsidRPr="00DB7AAE">
        <w:rPr>
          <w:b/>
        </w:rPr>
        <w:t>4. Theological Implications</w:t>
      </w:r>
    </w:p>
    <w:p w14:paraId="06BA5AF1" w14:textId="77777777" w:rsidR="00DB7AAE" w:rsidRDefault="00DB7AAE">
      <w:r>
        <w:t>- In the parable of the tares and the wheat, the binding into bundles highlights the definitive separation of humanity at the end of the age.</w:t>
      </w:r>
    </w:p>
    <w:p w14:paraId="24AFC80C" w14:textId="77777777" w:rsidR="00DB7AAE" w:rsidRDefault="00DB7AAE">
      <w:r>
        <w:t>- It teaches that judgment is organized and purposeful; the unrighteous are gathered first and bound together, prefiguring the corporate nature of eternal accountability and punishment.</w:t>
      </w:r>
    </w:p>
    <w:p w14:paraId="68944DC0" w14:textId="77777777" w:rsidR="00DB7AAE" w:rsidRDefault="00DB7AAE"/>
    <w:p w14:paraId="34BDD82A" w14:textId="77777777" w:rsidR="00DB7AAE" w:rsidRPr="00DB7AAE" w:rsidRDefault="00DB7AAE">
      <w:pPr>
        <w:rPr>
          <w:b/>
        </w:rPr>
      </w:pPr>
      <w:r w:rsidRPr="00DB7AAE">
        <w:rPr>
          <w:b/>
        </w:rPr>
        <w:t>5. Contextual Nuance in the Passage</w:t>
      </w:r>
    </w:p>
    <w:p w14:paraId="2FF41986" w14:textId="77777777" w:rsidR="00DB7AAE" w:rsidRDefault="00DB7AAE">
      <w:r>
        <w:t>- In Matthew 13:30, Jesus instructs the reapers to "first gather together the tares and bind them in bundles to burn them, but gather the wheat into my barn."</w:t>
      </w:r>
    </w:p>
    <w:p w14:paraId="5BFE1435" w14:textId="77777777" w:rsidR="00DB7AAE" w:rsidRDefault="00DB7AAE">
      <w:r>
        <w:t>- Here, desme underscores the initial phase of harvest judgment, where imitation believers (tares) who grew alongside true believers (wheat) are isolated and prepared for the fire.</w:t>
      </w:r>
    </w:p>
    <w:p w14:paraId="43833792" w14:textId="77777777" w:rsidR="00DB7AAE" w:rsidRDefault="00DB7AAE"/>
    <w:p w14:paraId="09EC6032" w14:textId="77777777" w:rsidR="00DB7AAE" w:rsidRPr="00DB7AAE" w:rsidRDefault="00DB7AAE">
      <w:pPr>
        <w:rPr>
          <w:b/>
        </w:rPr>
      </w:pPr>
      <w:r w:rsidRPr="00DB7AAE">
        <w:rPr>
          <w:b/>
        </w:rPr>
        <w:t>6. Key Uses in Other Verses (NKJV)</w:t>
      </w:r>
    </w:p>
    <w:p w14:paraId="6FFFC88A" w14:textId="77777777" w:rsidR="00DB7AAE" w:rsidRDefault="00DB7AAE">
      <w:r>
        <w:t>- Matthew 13:30: "Let both grow together until the harvest, and at the time of harvest I will say to the reapers, 'First gather together the tares and bind them in bundles to burn them, but gather the wheat into my barn.'"</w:t>
      </w:r>
    </w:p>
    <w:p w14:paraId="7016E77E" w14:textId="77777777" w:rsidR="00DB7AAE" w:rsidRDefault="00DB7AAE"/>
    <w:p w14:paraId="737452D8" w14:textId="77777777" w:rsidR="00DB7AAE" w:rsidRPr="00DB7AAE" w:rsidRDefault="00DB7AAE">
      <w:pPr>
        <w:rPr>
          <w:b/>
        </w:rPr>
      </w:pPr>
      <w:r w:rsidRPr="00DB7AAE">
        <w:rPr>
          <w:b/>
        </w:rPr>
        <w:t>7. Other Relevant Insights</w:t>
      </w:r>
    </w:p>
    <w:p w14:paraId="7EA79A94" w14:textId="77777777" w:rsidR="00DB7AAE" w:rsidRDefault="00DB7AAE">
      <w:r>
        <w:t>- The contrast in Matthew 13 is between being bound for burning versus being gathered into a barn for preservation.</w:t>
      </w:r>
    </w:p>
    <w:p w14:paraId="44363BBD" w14:textId="77777777" w:rsidR="00DB7AAE" w:rsidRDefault="00DB7AAE">
      <w:r>
        <w:t>- The action of binding indicates that human classification by the Divine Judge precedes final execution.</w:t>
      </w:r>
    </w:p>
    <w:p w14:paraId="306A6A13" w14:textId="77777777" w:rsidR="00DB7AAE" w:rsidRDefault="00DB7AAE"/>
    <w:p w14:paraId="6A46DAAA" w14:textId="77777777" w:rsidR="00DB7AAE" w:rsidRPr="00DB7AAE" w:rsidRDefault="00DB7AAE">
      <w:pPr>
        <w:rPr>
          <w:b/>
        </w:rPr>
      </w:pPr>
      <w:r w:rsidRPr="00DB7AAE">
        <w:rPr>
          <w:b/>
        </w:rPr>
        <w:t>8. References</w:t>
      </w:r>
    </w:p>
    <w:p w14:paraId="11EBEE1D" w14:textId="77777777" w:rsidR="00DB7AAE" w:rsidRDefault="00DB7AAE">
      <w:r>
        <w:t>BDAG</w:t>
      </w:r>
    </w:p>
    <w:p w14:paraId="4E98151E" w14:textId="77777777" w:rsidR="00DB7AAE" w:rsidRDefault="00DB7AAE">
      <w:r>
        <w:t>TDNT</w:t>
      </w:r>
    </w:p>
    <w:p w14:paraId="2DB9FEF3" w14:textId="77777777" w:rsidR="00DB7AAE" w:rsidRDefault="00DB7AAE">
      <w:r>
        <w:t>NIDNTTE</w:t>
      </w:r>
    </w:p>
    <w:p w14:paraId="62B4DC46" w14:textId="77777777" w:rsidR="00DB7AAE" w:rsidRDefault="00DB7AAE">
      <w:r>
        <w:t>Vine's Expository Dictionary</w:t>
      </w:r>
    </w:p>
    <w:p w14:paraId="144D1B37" w14:textId="77777777" w:rsidR="00DB7AAE" w:rsidRDefault="00DB7AAE">
      <w:r>
        <w:t>Zodhiates Complete Word Study Dictionary</w:t>
      </w:r>
    </w:p>
    <w:p w14:paraId="11496B0C" w14:textId="77777777" w:rsidR="00DB7AAE" w:rsidRDefault="00DB7AAE">
      <w:r>
        <w:t>Enduring Word Commentary</w:t>
      </w:r>
    </w:p>
    <w:p w14:paraId="28E64555" w14:textId="489C6F05" w:rsidR="004C5552" w:rsidRDefault="00DB7AAE">
      <w:r>
        <w:t>John MacArthur Sermon Archive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A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7AA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E76E"/>
  <w15:chartTrackingRefBased/>
  <w15:docId w15:val="{8F858364-1D0D-46FC-9D99-55125387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7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7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AAE"/>
    <w:rPr>
      <w:rFonts w:eastAsiaTheme="majorEastAsia" w:cstheme="majorBidi"/>
      <w:color w:val="272727" w:themeColor="text1" w:themeTint="D8"/>
    </w:rPr>
  </w:style>
  <w:style w:type="paragraph" w:styleId="Title">
    <w:name w:val="Title"/>
    <w:basedOn w:val="Normal"/>
    <w:next w:val="Normal"/>
    <w:link w:val="TitleChar"/>
    <w:uiPriority w:val="10"/>
    <w:qFormat/>
    <w:rsid w:val="00DB7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AAE"/>
    <w:pPr>
      <w:spacing w:before="160"/>
      <w:jc w:val="center"/>
    </w:pPr>
    <w:rPr>
      <w:i/>
      <w:iCs/>
      <w:color w:val="404040" w:themeColor="text1" w:themeTint="BF"/>
    </w:rPr>
  </w:style>
  <w:style w:type="character" w:customStyle="1" w:styleId="QuoteChar">
    <w:name w:val="Quote Char"/>
    <w:basedOn w:val="DefaultParagraphFont"/>
    <w:link w:val="Quote"/>
    <w:uiPriority w:val="29"/>
    <w:rsid w:val="00DB7AAE"/>
    <w:rPr>
      <w:i/>
      <w:iCs/>
      <w:color w:val="404040" w:themeColor="text1" w:themeTint="BF"/>
    </w:rPr>
  </w:style>
  <w:style w:type="paragraph" w:styleId="ListParagraph">
    <w:name w:val="List Paragraph"/>
    <w:basedOn w:val="Normal"/>
    <w:uiPriority w:val="34"/>
    <w:qFormat/>
    <w:rsid w:val="00DB7AAE"/>
    <w:pPr>
      <w:ind w:left="720"/>
      <w:contextualSpacing/>
    </w:pPr>
  </w:style>
  <w:style w:type="character" w:styleId="IntenseEmphasis">
    <w:name w:val="Intense Emphasis"/>
    <w:basedOn w:val="DefaultParagraphFont"/>
    <w:uiPriority w:val="21"/>
    <w:qFormat/>
    <w:rsid w:val="00DB7AAE"/>
    <w:rPr>
      <w:i/>
      <w:iCs/>
      <w:color w:val="2E74B5" w:themeColor="accent1" w:themeShade="BF"/>
    </w:rPr>
  </w:style>
  <w:style w:type="paragraph" w:styleId="IntenseQuote">
    <w:name w:val="Intense Quote"/>
    <w:basedOn w:val="Normal"/>
    <w:next w:val="Normal"/>
    <w:link w:val="IntenseQuoteChar"/>
    <w:uiPriority w:val="30"/>
    <w:qFormat/>
    <w:rsid w:val="00DB7A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7AAE"/>
    <w:rPr>
      <w:i/>
      <w:iCs/>
      <w:color w:val="2E74B5" w:themeColor="accent1" w:themeShade="BF"/>
    </w:rPr>
  </w:style>
  <w:style w:type="character" w:styleId="IntenseReference">
    <w:name w:val="Intense Reference"/>
    <w:basedOn w:val="DefaultParagraphFont"/>
    <w:uiPriority w:val="32"/>
    <w:qFormat/>
    <w:rsid w:val="00DB7A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Words>
  <Characters>2227</Characters>
  <Application>Microsoft Office Word</Application>
  <DocSecurity>0</DocSecurity>
  <Lines>42</Lines>
  <Paragraphs>23</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