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4EBF" w14:textId="77777777" w:rsidR="00B2120B" w:rsidRPr="00B2120B" w:rsidRDefault="00B2120B">
      <w:pPr>
        <w:rPr>
          <w:b/>
        </w:rPr>
      </w:pPr>
      <w:r w:rsidRPr="00B2120B">
        <w:rPr>
          <w:b/>
        </w:rPr>
        <w:t>TEMPLE TAX - ( didrachmon , Strong's G1323 )</w:t>
      </w:r>
    </w:p>
    <w:p w14:paraId="3559D080" w14:textId="77777777" w:rsidR="00B2120B" w:rsidRDefault="00B2120B">
      <w:r w:rsidRPr="00B2120B">
        <w:rPr>
          <w:b/>
        </w:rPr>
        <w:t>Summary:</w:t>
      </w:r>
    </w:p>
    <w:p w14:paraId="51A0938B" w14:textId="77777777" w:rsidR="00B2120B" w:rsidRDefault="00B2120B">
      <w:r>
        <w:t>The Greek term didrachmon refers to a double-drachma coin, equivalent to a Jewish half-shekel, which was the annual tribute required of every adult Jewish male for the upkeep of the temple in Jerusalem. In Matthew 17:24, it designates this specific religious assessment, emphasizing the civic and religious obligations of Jewish life during the Second Temple period. Jesus' response to this tax highlights His unique status as the Son of God, who is naturally exempt from the tax of His Father's house, yet He chooses to pay it to avoid causing unnecessary offense, demonstrating both His divine authority and His voluntary humility.</w:t>
      </w:r>
    </w:p>
    <w:p w14:paraId="18491B8F" w14:textId="77777777" w:rsidR="00B2120B" w:rsidRDefault="00B2120B"/>
    <w:p w14:paraId="47B2EB2E" w14:textId="77777777" w:rsidR="00B2120B" w:rsidRDefault="00B2120B">
      <w:r w:rsidRPr="00B2120B">
        <w:rPr>
          <w:b/>
        </w:rPr>
        <w:t>Full Study:</w:t>
      </w:r>
    </w:p>
    <w:p w14:paraId="35F52053" w14:textId="77777777" w:rsidR="00B2120B" w:rsidRDefault="00B2120B"/>
    <w:p w14:paraId="17E5D71D" w14:textId="77777777" w:rsidR="00B2120B" w:rsidRPr="00B2120B" w:rsidRDefault="00B2120B">
      <w:pPr>
        <w:rPr>
          <w:b/>
        </w:rPr>
      </w:pPr>
      <w:r w:rsidRPr="00B2120B">
        <w:rPr>
          <w:b/>
        </w:rPr>
        <w:t>1. Word Picture / Background</w:t>
      </w:r>
    </w:p>
    <w:p w14:paraId="677A2789" w14:textId="77777777" w:rsidR="00B2120B" w:rsidRDefault="00B2120B">
      <w:r>
        <w:t>• The word didrachmon is a compound Greek word combining dis (twice) and drachme (a drachma, the standard Greek silver coin roughly equivalent to a Roman denarius or a day's wage).</w:t>
      </w:r>
    </w:p>
    <w:p w14:paraId="544B8EDB" w14:textId="77777777" w:rsidR="00B2120B" w:rsidRDefault="00B2120B">
      <w:r>
        <w:t>• A didrachmon was a double-drachma coin.</w:t>
      </w:r>
    </w:p>
    <w:p w14:paraId="71B44A76" w14:textId="77777777" w:rsidR="00B2120B" w:rsidRDefault="00B2120B">
      <w:r>
        <w:t>• Historically, this coin was equivalent to the Jewish half-shekel, which was the exact amount mandated by Mosaic law in Exodus 30:11-16 for the ransom and upkeep of the Tabernacle and later the Temple.</w:t>
      </w:r>
    </w:p>
    <w:p w14:paraId="2C998814" w14:textId="77777777" w:rsidR="00B2120B" w:rsidRDefault="00B2120B">
      <w:r>
        <w:t>• Every Jewish male twenty years and older was required to pay this annual contribution, regardless of socioeconomic status, ensuring that all shared equally in the maintenance of God's dwelling place.</w:t>
      </w:r>
    </w:p>
    <w:p w14:paraId="190640CF" w14:textId="77777777" w:rsidR="00B2120B" w:rsidRDefault="00B2120B"/>
    <w:p w14:paraId="1FF0FB00" w14:textId="77777777" w:rsidR="00B2120B" w:rsidRPr="00B2120B" w:rsidRDefault="00B2120B">
      <w:pPr>
        <w:rPr>
          <w:b/>
        </w:rPr>
      </w:pPr>
      <w:r w:rsidRPr="00B2120B">
        <w:rPr>
          <w:b/>
        </w:rPr>
        <w:t>2. Meaning / Lexical Definition</w:t>
      </w:r>
    </w:p>
    <w:p w14:paraId="7AD9F282" w14:textId="77777777" w:rsidR="00B2120B" w:rsidRDefault="00B2120B">
      <w:r>
        <w:t>• The noun didrachmon denotes a silver coin worth two drachmas.</w:t>
      </w:r>
    </w:p>
    <w:p w14:paraId="16395852" w14:textId="77777777" w:rsidR="00B2120B" w:rsidRDefault="00B2120B">
      <w:r>
        <w:t>• In Hellenistic and Jewish contexts, the term specifically represents the temple tax or half-shekel tribute paid annually by Jewish males to the Jerusalem temple treasury.</w:t>
      </w:r>
    </w:p>
    <w:p w14:paraId="30FDF544" w14:textId="77777777" w:rsidR="00B2120B" w:rsidRDefault="00B2120B">
      <w:r>
        <w:t>• The monetary value of two drachmas represented approximately two days' wages for an average laborer or soldier.</w:t>
      </w:r>
    </w:p>
    <w:p w14:paraId="19B70361" w14:textId="77777777" w:rsidR="00B2120B" w:rsidRDefault="00B2120B">
      <w:r>
        <w:t>• The Septuagint uses didrachmon to translate the Hebrew half-shekel in passages like Genesis 23:15 and Exodus 30:13.</w:t>
      </w:r>
    </w:p>
    <w:p w14:paraId="1D095344" w14:textId="77777777" w:rsidR="00B2120B" w:rsidRDefault="00B2120B"/>
    <w:p w14:paraId="09CC25EF" w14:textId="77777777" w:rsidR="00B2120B" w:rsidRPr="00B2120B" w:rsidRDefault="00B2120B">
      <w:pPr>
        <w:rPr>
          <w:b/>
        </w:rPr>
      </w:pPr>
      <w:r w:rsidRPr="00B2120B">
        <w:rPr>
          <w:b/>
        </w:rPr>
        <w:t>3. Usage and Word Pictures</w:t>
      </w:r>
    </w:p>
    <w:p w14:paraId="77D7E736" w14:textId="77777777" w:rsidR="00B2120B" w:rsidRDefault="00B2120B">
      <w:r>
        <w:t>• While secular Greek literature uses didrachmon purely as a unit of currency, Jewish literature consistently links it to the sacred temple tax.</w:t>
      </w:r>
    </w:p>
    <w:p w14:paraId="30CDF4F6" w14:textId="77777777" w:rsidR="00B2120B" w:rsidRDefault="00B2120B">
      <w:r>
        <w:t>• Because the Roman government did not mint half-shekel coins, and foreign currency with pagan images was forbidden in the temple treasury, Jews had to exchange their Roman or Greek currency for the exact didrachmon value. This necessity gave rise to the moneychangers mentioned in the Gospels.</w:t>
      </w:r>
    </w:p>
    <w:p w14:paraId="683B3C09" w14:textId="77777777" w:rsidR="00B2120B" w:rsidRDefault="00B2120B">
      <w:r>
        <w:t>• The coin functions as a physical symbol of covenant membership, communal responsibility, and the ongoing operational costs of the sacrificial system.</w:t>
      </w:r>
    </w:p>
    <w:p w14:paraId="437B07BA" w14:textId="77777777" w:rsidR="00B2120B" w:rsidRDefault="00B2120B"/>
    <w:p w14:paraId="61E437F8" w14:textId="77777777" w:rsidR="00B2120B" w:rsidRPr="00B2120B" w:rsidRDefault="00B2120B">
      <w:pPr>
        <w:rPr>
          <w:b/>
        </w:rPr>
      </w:pPr>
      <w:r w:rsidRPr="00B2120B">
        <w:rPr>
          <w:b/>
        </w:rPr>
        <w:t>4. Theological Implications</w:t>
      </w:r>
    </w:p>
    <w:p w14:paraId="0B44174A" w14:textId="77777777" w:rsidR="00B2120B" w:rsidRDefault="00B2120B">
      <w:r>
        <w:t>• The temple tax was rooted in the concept of atonement and redemption. It served as a reminder that all Israelites stood on equal footing before God and needed redemption.</w:t>
      </w:r>
    </w:p>
    <w:p w14:paraId="4E3E1E77" w14:textId="77777777" w:rsidR="00B2120B" w:rsidRDefault="00B2120B">
      <w:r>
        <w:t>• Jesus' discussion of the tax redefines the relationship between the King of Heaven, His Son, and the citizens of the kingdom. As the true Son of God, Jesus is the Lord of the Temple; therefore, He is inherently exempt from paying tribute to His Father's house.</w:t>
      </w:r>
    </w:p>
    <w:p w14:paraId="402397FE" w14:textId="77777777" w:rsidR="00B2120B" w:rsidRDefault="00B2120B">
      <w:r>
        <w:t>• By paying the tax, Jesus models a theology of voluntary submission and active obedience to prevent stumbling blocks (skandalon) for others, illustrating that Christian liberty is sometimes surrendered for the sake of the gospel and pastoral care.</w:t>
      </w:r>
    </w:p>
    <w:p w14:paraId="308AC02B" w14:textId="77777777" w:rsidR="00B2120B" w:rsidRDefault="00B2120B"/>
    <w:p w14:paraId="55FB03BE" w14:textId="77777777" w:rsidR="00B2120B" w:rsidRPr="00B2120B" w:rsidRDefault="00B2120B">
      <w:pPr>
        <w:rPr>
          <w:b/>
        </w:rPr>
      </w:pPr>
      <w:r w:rsidRPr="00B2120B">
        <w:rPr>
          <w:b/>
        </w:rPr>
        <w:t>5. Contextual Nuance in the Passage</w:t>
      </w:r>
    </w:p>
    <w:p w14:paraId="19CB6CDD" w14:textId="77777777" w:rsidR="00B2120B" w:rsidRDefault="00B2120B">
      <w:r>
        <w:t>• In Matthew 17:24, the collectors of the didrachmon approach Peter in Capernaum, asking if Jesus pays the tax. This reveals their scrutiny of Jesus' adherence to orthodox Jewish practices.</w:t>
      </w:r>
    </w:p>
    <w:p w14:paraId="2C1C0FC9" w14:textId="77777777" w:rsidR="00B2120B" w:rsidRDefault="00B2120B">
      <w:r>
        <w:t>• Jesus anticipates Peter's response and uses an analogy of earthly kings who collect customs or taxes from strangers, not their own children. He establishes that "the sons are free."</w:t>
      </w:r>
    </w:p>
    <w:p w14:paraId="4B966005" w14:textId="77777777" w:rsidR="00B2120B" w:rsidRDefault="00B2120B">
      <w:r>
        <w:t>• To avoid offending them, Jesus directs Peter to catch a fish, inside of whose mouth he finds a stater (a four-drachma coin). This single coin perfectly covers the didrachmon tax for both Jesus and Peter.</w:t>
      </w:r>
    </w:p>
    <w:p w14:paraId="62EE7D07" w14:textId="77777777" w:rsidR="00B2120B" w:rsidRDefault="00B2120B">
      <w:r>
        <w:t>• This miraculous provision demonstrates Jesus' sovereignty over creation while simultaneously preserving His legal and social blamelessness before the religious authorities.</w:t>
      </w:r>
    </w:p>
    <w:p w14:paraId="723F4DE1" w14:textId="77777777" w:rsidR="00B2120B" w:rsidRDefault="00B2120B"/>
    <w:p w14:paraId="019BB6DD" w14:textId="77777777" w:rsidR="00B2120B" w:rsidRPr="00B2120B" w:rsidRDefault="00B2120B">
      <w:pPr>
        <w:rPr>
          <w:b/>
        </w:rPr>
      </w:pPr>
      <w:r w:rsidRPr="00B2120B">
        <w:rPr>
          <w:b/>
        </w:rPr>
        <w:t>6. Key Uses in Other Verses (NKJV)</w:t>
      </w:r>
    </w:p>
    <w:p w14:paraId="4DC2F528" w14:textId="77777777" w:rsidR="00B2120B" w:rsidRDefault="00B2120B">
      <w:r>
        <w:t>• Matthew 17:24 — "When they had come to Capernaum, those who received the temple tax came to Peter and said, 'Does your Teacher not pay the temple tax?'"</w:t>
      </w:r>
    </w:p>
    <w:p w14:paraId="4B43D433" w14:textId="77777777" w:rsidR="00B2120B" w:rsidRDefault="00B2120B"/>
    <w:p w14:paraId="04309793" w14:textId="77777777" w:rsidR="00B2120B" w:rsidRPr="00B2120B" w:rsidRDefault="00B2120B">
      <w:pPr>
        <w:rPr>
          <w:b/>
        </w:rPr>
      </w:pPr>
      <w:r w:rsidRPr="00B2120B">
        <w:rPr>
          <w:b/>
        </w:rPr>
        <w:t>7. Other Relevant Insights</w:t>
      </w:r>
    </w:p>
    <w:p w14:paraId="57339D38" w14:textId="77777777" w:rsidR="00B2120B" w:rsidRDefault="00B2120B">
      <w:r>
        <w:t>• After the destruction of the Jerusalem Temple in AD 70, the Roman Emperor Vespasian diverted this tax (fiscus Judaicus) to the temple of Jupiter Capitolinus in Rome, transforming a voluntary religious offering into a compulsory, humiliating Roman tax on Jews.</w:t>
      </w:r>
    </w:p>
    <w:p w14:paraId="72235DBC" w14:textId="77777777" w:rsidR="00B2120B" w:rsidRDefault="00B2120B">
      <w:r>
        <w:t>• The provision of the stater (worth four drachmas) instead of two individual didrachma coins was highly practical. The temple treasury charged a small surcharge for exchanging single coins, but paying with one joint coin for two people avoided this extra transaction fee.</w:t>
      </w:r>
    </w:p>
    <w:p w14:paraId="51CFE0D1" w14:textId="77777777" w:rsidR="00B2120B" w:rsidRDefault="00B2120B"/>
    <w:p w14:paraId="2EF0A4F1" w14:textId="77777777" w:rsidR="00B2120B" w:rsidRPr="00B2120B" w:rsidRDefault="00B2120B">
      <w:pPr>
        <w:rPr>
          <w:b/>
        </w:rPr>
      </w:pPr>
      <w:r w:rsidRPr="00B2120B">
        <w:rPr>
          <w:b/>
        </w:rPr>
        <w:t>8. References</w:t>
      </w:r>
    </w:p>
    <w:p w14:paraId="60F4846B" w14:textId="77777777" w:rsidR="00B2120B" w:rsidRDefault="00B2120B">
      <w:r>
        <w:t>• BDAG, s.v. "δίδραχμον."</w:t>
      </w:r>
    </w:p>
    <w:p w14:paraId="1F88F908" w14:textId="77777777" w:rsidR="00B2120B" w:rsidRDefault="00B2120B">
      <w:r>
        <w:t>• Thayer's Greek-English Lexicon of the New Testament, G1323.</w:t>
      </w:r>
    </w:p>
    <w:p w14:paraId="64C65A8E" w14:textId="77777777" w:rsidR="00B2120B" w:rsidRDefault="00B2120B">
      <w:r>
        <w:t>• Vine's Expository Dictionary of New Testament Words.</w:t>
      </w:r>
    </w:p>
    <w:p w14:paraId="288CF1B3" w14:textId="77777777" w:rsidR="00B2120B" w:rsidRDefault="00B2120B">
      <w:r>
        <w:t>• Theological Dictionary of the New Testament (TDNT), s.v. "δίδραχμον."</w:t>
      </w:r>
    </w:p>
    <w:p w14:paraId="42211A06" w14:textId="77777777" w:rsidR="00B2120B" w:rsidRDefault="00B2120B">
      <w:r>
        <w:t>• Flavius Josephus, Antiquities of the Jews, 18.9.1.</w:t>
      </w:r>
    </w:p>
    <w:p w14:paraId="0AF0224A" w14:textId="77777777" w:rsidR="00B2120B" w:rsidRDefault="00B2120B">
      <w:r>
        <w:t>• Precept Austin on Matthew 17.</w:t>
      </w:r>
    </w:p>
    <w:p w14:paraId="396016A6" w14:textId="77777777" w:rsidR="004C5552" w:rsidRDefault="00B2120B">
      <w:r>
        <w:t>• Blue Letter Bible Strong's G1323.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120B"/>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AA1E"/>
  <w15:chartTrackingRefBased/>
  <w15:docId w15:val="{5DBDCCEA-D9EC-480C-A3E9-A5B32CE7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1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1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20B"/>
    <w:rPr>
      <w:rFonts w:eastAsiaTheme="majorEastAsia" w:cstheme="majorBidi"/>
      <w:color w:val="272727" w:themeColor="text1" w:themeTint="D8"/>
    </w:rPr>
  </w:style>
  <w:style w:type="paragraph" w:styleId="Title">
    <w:name w:val="Title"/>
    <w:basedOn w:val="Normal"/>
    <w:next w:val="Normal"/>
    <w:link w:val="TitleChar"/>
    <w:uiPriority w:val="10"/>
    <w:qFormat/>
    <w:rsid w:val="00B2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20B"/>
    <w:pPr>
      <w:spacing w:before="160"/>
      <w:jc w:val="center"/>
    </w:pPr>
    <w:rPr>
      <w:i/>
      <w:iCs/>
      <w:color w:val="404040" w:themeColor="text1" w:themeTint="BF"/>
    </w:rPr>
  </w:style>
  <w:style w:type="character" w:customStyle="1" w:styleId="QuoteChar">
    <w:name w:val="Quote Char"/>
    <w:basedOn w:val="DefaultParagraphFont"/>
    <w:link w:val="Quote"/>
    <w:uiPriority w:val="29"/>
    <w:rsid w:val="00B2120B"/>
    <w:rPr>
      <w:i/>
      <w:iCs/>
      <w:color w:val="404040" w:themeColor="text1" w:themeTint="BF"/>
    </w:rPr>
  </w:style>
  <w:style w:type="paragraph" w:styleId="ListParagraph">
    <w:name w:val="List Paragraph"/>
    <w:basedOn w:val="Normal"/>
    <w:uiPriority w:val="34"/>
    <w:qFormat/>
    <w:rsid w:val="00B2120B"/>
    <w:pPr>
      <w:ind w:left="720"/>
      <w:contextualSpacing/>
    </w:pPr>
  </w:style>
  <w:style w:type="character" w:styleId="IntenseEmphasis">
    <w:name w:val="Intense Emphasis"/>
    <w:basedOn w:val="DefaultParagraphFont"/>
    <w:uiPriority w:val="21"/>
    <w:qFormat/>
    <w:rsid w:val="00B2120B"/>
    <w:rPr>
      <w:i/>
      <w:iCs/>
      <w:color w:val="2E74B5" w:themeColor="accent1" w:themeShade="BF"/>
    </w:rPr>
  </w:style>
  <w:style w:type="paragraph" w:styleId="IntenseQuote">
    <w:name w:val="Intense Quote"/>
    <w:basedOn w:val="Normal"/>
    <w:next w:val="Normal"/>
    <w:link w:val="IntenseQuoteChar"/>
    <w:uiPriority w:val="30"/>
    <w:qFormat/>
    <w:rsid w:val="00B212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120B"/>
    <w:rPr>
      <w:i/>
      <w:iCs/>
      <w:color w:val="2E74B5" w:themeColor="accent1" w:themeShade="BF"/>
    </w:rPr>
  </w:style>
  <w:style w:type="character" w:styleId="IntenseReference">
    <w:name w:val="Intense Reference"/>
    <w:basedOn w:val="DefaultParagraphFont"/>
    <w:uiPriority w:val="32"/>
    <w:qFormat/>
    <w:rsid w:val="00B212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4271</Characters>
  <Application>Microsoft Office Word</Application>
  <DocSecurity>0</DocSecurity>
  <Lines>82</Lines>
  <Paragraphs>44</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