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728E" w14:textId="77777777" w:rsidR="00DF2CD6" w:rsidRPr="00DF2CD6" w:rsidRDefault="00DF2CD6">
      <w:pPr>
        <w:rPr>
          <w:b/>
        </w:rPr>
      </w:pPr>
      <w:r w:rsidRPr="00DF2CD6">
        <w:rPr>
          <w:b/>
        </w:rPr>
        <w:t>JOINED TOGETHER - ( syzeugnymi , Strong's G4801 )</w:t>
      </w:r>
    </w:p>
    <w:p w14:paraId="261A7180" w14:textId="77777777" w:rsidR="00DF2CD6" w:rsidRDefault="00DF2CD6">
      <w:r w:rsidRPr="00DF2CD6">
        <w:rPr>
          <w:b/>
        </w:rPr>
        <w:t>Summary:</w:t>
      </w:r>
    </w:p>
    <w:p w14:paraId="5F811304" w14:textId="77777777" w:rsidR="00DF2CD6" w:rsidRDefault="00DF2CD6">
      <w:r>
        <w:t>The Greek verb syzeugnymi literally means "to yoke together." In the New Testament, it is used exclusively by Jesus in the context of marriage to describe the indissoluble union established by God between a husband and a wife. By comparing marriage to a shared yoke, the term emphasizes a divinely forged, functional partnership designed for unified labor, mutual support, and lifelong commitment, which no human authority has the right to tear apart.</w:t>
      </w:r>
    </w:p>
    <w:p w14:paraId="75C36049" w14:textId="77777777" w:rsidR="00DF2CD6" w:rsidRDefault="00DF2CD6"/>
    <w:p w14:paraId="6351B692" w14:textId="77777777" w:rsidR="00DF2CD6" w:rsidRDefault="00DF2CD6">
      <w:r w:rsidRPr="00DF2CD6">
        <w:rPr>
          <w:b/>
        </w:rPr>
        <w:t>Full Study:</w:t>
      </w:r>
    </w:p>
    <w:p w14:paraId="50D5E82A" w14:textId="77777777" w:rsidR="00DF2CD6" w:rsidRDefault="00DF2CD6"/>
    <w:p w14:paraId="39386707" w14:textId="77777777" w:rsidR="00DF2CD6" w:rsidRPr="00DF2CD6" w:rsidRDefault="00DF2CD6">
      <w:pPr>
        <w:rPr>
          <w:b/>
        </w:rPr>
      </w:pPr>
      <w:r w:rsidRPr="00DF2CD6">
        <w:rPr>
          <w:b/>
        </w:rPr>
        <w:t xml:space="preserve"> 1. Word Picture / Background</w:t>
      </w:r>
    </w:p>
    <w:p w14:paraId="43D5543B" w14:textId="77777777" w:rsidR="00DF2CD6" w:rsidRDefault="00DF2CD6">
      <w:r>
        <w:t xml:space="preserve">The word syzeugnymi draws its imagery from ancient agriculture, specifically the practice of placing a wooden yoke (zygos) over the necks of two draft animals—usually oxen—so they could work together to pull a plow or cart. For the animals to plow successfully, they had to be compatible, walk at the same pace, and move in the same direction. If one pulled ahead or lagged behind, the yoke would chafe and hurt both. To be "yoked together" was to be bound to a common purpose, requiring total cooperation, unity, and shared effort. In secular Greek literature, this vivid agricultural metaphor was naturally extended to human relationships, particularly political alliances and the marital bond. </w:t>
      </w:r>
    </w:p>
    <w:p w14:paraId="6A0D295B" w14:textId="77777777" w:rsidR="00DF2CD6" w:rsidRDefault="00DF2CD6"/>
    <w:p w14:paraId="15F884AB" w14:textId="77777777" w:rsidR="00DF2CD6" w:rsidRPr="00DF2CD6" w:rsidRDefault="00DF2CD6">
      <w:pPr>
        <w:rPr>
          <w:b/>
        </w:rPr>
      </w:pPr>
      <w:r w:rsidRPr="00DF2CD6">
        <w:rPr>
          <w:b/>
        </w:rPr>
        <w:t xml:space="preserve"> 2. Meaning / Lexical Definition</w:t>
      </w:r>
    </w:p>
    <w:p w14:paraId="7A064A37" w14:textId="77777777" w:rsidR="00DF2CD6" w:rsidRDefault="00DF2CD6">
      <w:r>
        <w:t xml:space="preserve">The term is a compound verb derived from syn (together with) and zeugnymi (to yoke, bind, or join). </w:t>
      </w:r>
    </w:p>
    <w:p w14:paraId="5E5A25BA" w14:textId="77777777" w:rsidR="00DF2CD6" w:rsidRDefault="00DF2CD6">
      <w:r>
        <w:t>• It means to join together in a common bond.</w:t>
      </w:r>
    </w:p>
    <w:p w14:paraId="43663340" w14:textId="77777777" w:rsidR="00DF2CD6" w:rsidRDefault="00DF2CD6">
      <w:r>
        <w:t>• In a transitive sense, it refers to the act of fastening together or uniting two separate entities into a single, functional pair.</w:t>
      </w:r>
    </w:p>
    <w:p w14:paraId="42C9008E" w14:textId="77777777" w:rsidR="00DF2CD6" w:rsidRDefault="00DF2CD6">
      <w:r>
        <w:t>• In the context of relationships, it refers specifically to uniting two people in the covenant of marriage, transforming them from two independent individuals into a single, cohesive unit.</w:t>
      </w:r>
    </w:p>
    <w:p w14:paraId="34272D6A" w14:textId="77777777" w:rsidR="00DF2CD6" w:rsidRDefault="00DF2CD6"/>
    <w:p w14:paraId="5E060F93" w14:textId="77777777" w:rsidR="00DF2CD6" w:rsidRPr="00DF2CD6" w:rsidRDefault="00DF2CD6">
      <w:pPr>
        <w:rPr>
          <w:b/>
        </w:rPr>
      </w:pPr>
      <w:r w:rsidRPr="00DF2CD6">
        <w:rPr>
          <w:b/>
        </w:rPr>
        <w:t xml:space="preserve"> 3. Usage and Word Pictures</w:t>
      </w:r>
    </w:p>
    <w:p w14:paraId="299072F7" w14:textId="77777777" w:rsidR="00DF2CD6" w:rsidRDefault="00DF2CD6">
      <w:r>
        <w:t xml:space="preserve">In the Septuagint, the Greek translation of the Old Testament, the verb is used to describe physical connections, such as the wings of the living creatures touching one another in Ezekiel's vision (Ezekiel 1:11). </w:t>
      </w:r>
    </w:p>
    <w:p w14:paraId="25972B2C" w14:textId="77777777" w:rsidR="00DF2CD6" w:rsidRDefault="00DF2CD6"/>
    <w:p w14:paraId="33600EBA" w14:textId="77777777" w:rsidR="00DF2CD6" w:rsidRDefault="00DF2CD6">
      <w:r>
        <w:t>In the New Testament, the word appears only twice, in the parallel accounts of Jesus' teaching on marriage in Matthew 19:6 and Mark 10:9. In both instances, Jesus uses the word to explain the spiritual reality of Genesis 2:24 ("and they shall become one flesh"). The word picture is profound: when a man and a woman marry, they are not merely signing a legal contract or making a mutual agreement; they are being physically and spiritually yoked together by God Himself to pull together in the same direction for the rest of their lives.</w:t>
      </w:r>
    </w:p>
    <w:p w14:paraId="0721C3F3" w14:textId="77777777" w:rsidR="00DF2CD6" w:rsidRDefault="00DF2CD6"/>
    <w:p w14:paraId="3566F49B" w14:textId="77777777" w:rsidR="00DF2CD6" w:rsidRPr="00DF2CD6" w:rsidRDefault="00DF2CD6">
      <w:pPr>
        <w:rPr>
          <w:b/>
        </w:rPr>
      </w:pPr>
      <w:r w:rsidRPr="00DF2CD6">
        <w:rPr>
          <w:b/>
        </w:rPr>
        <w:t xml:space="preserve"> 4. Theological Implications</w:t>
      </w:r>
    </w:p>
    <w:p w14:paraId="49C2A20B" w14:textId="77777777" w:rsidR="00DF2CD6" w:rsidRDefault="00DF2CD6">
      <w:r>
        <w:t xml:space="preserve">The theological weight of syzeugnymi rests on the identity of the One doing the yoking. Jesus states, "What God has joined together..." </w:t>
      </w:r>
    </w:p>
    <w:p w14:paraId="4ACF61A1" w14:textId="77777777" w:rsidR="00DF2CD6" w:rsidRDefault="00DF2CD6">
      <w:r>
        <w:t>• Divine Action: Marriage is a divine institution, not a human invention. While human beings choose their spouses and perform wedding ceremonies, it is God who performs the ontological work of uniting them into "one flesh."</w:t>
      </w:r>
    </w:p>
    <w:p w14:paraId="10E12AF8" w14:textId="77777777" w:rsidR="00DF2CD6" w:rsidRDefault="00DF2CD6">
      <w:r>
        <w:t>• Permanence and Indissolubility: Because God is the active agent who binds the couple, the union carries a sacred permanence. The bond is so deep that human legal systems or personal whims cannot genuinely undo it without tearing apart what God has fused.</w:t>
      </w:r>
    </w:p>
    <w:p w14:paraId="293A1887" w14:textId="77777777" w:rsidR="00DF2CD6" w:rsidRDefault="00DF2CD6">
      <w:r>
        <w:t>• The Prohibition: The command "let not man separate" uses the Greek verb chōrizō (to divide or depart). It serves as a warning that humans lack the authority to dismantle a divine work. Attempting to dissolve a marriage is an encroachment upon God's sovereign territory.</w:t>
      </w:r>
    </w:p>
    <w:p w14:paraId="34CBC1DE" w14:textId="77777777" w:rsidR="00DF2CD6" w:rsidRDefault="00DF2CD6"/>
    <w:p w14:paraId="07D93ECA" w14:textId="77777777" w:rsidR="00DF2CD6" w:rsidRPr="00DF2CD6" w:rsidRDefault="00DF2CD6">
      <w:pPr>
        <w:rPr>
          <w:b/>
        </w:rPr>
      </w:pPr>
      <w:r w:rsidRPr="00DF2CD6">
        <w:rPr>
          <w:b/>
        </w:rPr>
        <w:t xml:space="preserve"> 5. Contextual Nuance in the Passage</w:t>
      </w:r>
    </w:p>
    <w:p w14:paraId="344A7665" w14:textId="77777777" w:rsidR="00DF2CD6" w:rsidRDefault="00DF2CD6">
      <w:r>
        <w:t xml:space="preserve">In Matthew 19, the Pharisees approach Jesus with a debate-trapping question: "Is it lawful for a man to divorce his wife for just any reason?" (Matthew 19:3). They are looking to draw Jesus into a contemporary rabbinic dispute between the strict school of Shammai and the liberal school of Hillel. </w:t>
      </w:r>
    </w:p>
    <w:p w14:paraId="27ACBE36" w14:textId="77777777" w:rsidR="00DF2CD6" w:rsidRDefault="00DF2CD6"/>
    <w:p w14:paraId="2909D5F7" w14:textId="77777777" w:rsidR="00DF2CD6" w:rsidRDefault="00DF2CD6">
      <w:r>
        <w:t>Jesus bypasses the rabbinic debates entirely and takes them back to God's original creation design. By using syzeugnymi in Matthew 19:6, Jesus elevates marriage far above Moses' civil concession for divorce. Moses permitted divorce as a damage-control measure because of the "hardness of your hearts" (Matthew 19:8). Jesus, however, points to the creation ideal: God yoked the first husband and wife together to be an inseparable unity. The nuance is clear: divorce is not a simple civil exit strategy; it is the violent ripping apart of a divinely yoked partnership.</w:t>
      </w:r>
    </w:p>
    <w:p w14:paraId="79622EFB" w14:textId="77777777" w:rsidR="00DF2CD6" w:rsidRDefault="00DF2CD6"/>
    <w:p w14:paraId="46B1539C" w14:textId="77777777" w:rsidR="00DF2CD6" w:rsidRPr="00DF2CD6" w:rsidRDefault="00DF2CD6">
      <w:pPr>
        <w:rPr>
          <w:b/>
        </w:rPr>
      </w:pPr>
      <w:r w:rsidRPr="00DF2CD6">
        <w:rPr>
          <w:b/>
        </w:rPr>
        <w:t xml:space="preserve"> 6. Key Uses in Other Verses (NKJV)</w:t>
      </w:r>
    </w:p>
    <w:p w14:paraId="1BE16E67" w14:textId="77777777" w:rsidR="00DF2CD6" w:rsidRDefault="00DF2CD6">
      <w:r>
        <w:t>• Matthew 19:6 - "So then, they are no longer two but one flesh. Therefore what God has joined together, let not man separate."</w:t>
      </w:r>
    </w:p>
    <w:p w14:paraId="32551A05" w14:textId="77777777" w:rsidR="00DF2CD6" w:rsidRDefault="00DF2CD6">
      <w:r>
        <w:t>• Mark 10:9 - "Therefore what God has joined together, let not man separate."</w:t>
      </w:r>
    </w:p>
    <w:p w14:paraId="05D3F8ED" w14:textId="77777777" w:rsidR="00DF2CD6" w:rsidRDefault="00DF2CD6"/>
    <w:p w14:paraId="30015E09" w14:textId="77777777" w:rsidR="00DF2CD6" w:rsidRPr="00DF2CD6" w:rsidRDefault="00DF2CD6">
      <w:pPr>
        <w:rPr>
          <w:b/>
        </w:rPr>
      </w:pPr>
      <w:r w:rsidRPr="00DF2CD6">
        <w:rPr>
          <w:b/>
        </w:rPr>
        <w:t xml:space="preserve"> 7. Other Relevant Insights</w:t>
      </w:r>
    </w:p>
    <w:p w14:paraId="3F81531D" w14:textId="77777777" w:rsidR="00DF2CD6" w:rsidRDefault="00DF2CD6">
      <w:r>
        <w:t>The concept of the yoke (zygos) appears elsewhere in the New Testament, offering a beautiful parallel to the marriage relationship. In Matthew 11:29-30, Jesus invites believers to "Take My yoke upon you... For My yoke is easy and My burden is light." Just as believers find rest and direction by being yoked to Christ, a husband and wife find harmony and strength when their marriage yoke is aligned under the lordship of Christ. When both partners are submissive to Him, the shared yoke of marriage becomes a source of mutual support and joy rather than a burden of chafing restriction.</w:t>
      </w:r>
    </w:p>
    <w:p w14:paraId="5F5E6330" w14:textId="77777777" w:rsidR="00DF2CD6" w:rsidRDefault="00DF2CD6"/>
    <w:p w14:paraId="4310189B" w14:textId="77777777" w:rsidR="00DF2CD6" w:rsidRPr="00DF2CD6" w:rsidRDefault="00DF2CD6">
      <w:pPr>
        <w:rPr>
          <w:b/>
        </w:rPr>
      </w:pPr>
      <w:r w:rsidRPr="00DF2CD6">
        <w:rPr>
          <w:b/>
        </w:rPr>
        <w:t xml:space="preserve"> 8. References</w:t>
      </w:r>
    </w:p>
    <w:p w14:paraId="5B8CC8ED" w14:textId="77777777" w:rsidR="00DF2CD6" w:rsidRDefault="00DF2CD6">
      <w:r>
        <w:t>• BDAG Greek-English Lexicon of the New Testament and Other Early Christian Literature</w:t>
      </w:r>
    </w:p>
    <w:p w14:paraId="4305050A" w14:textId="77777777" w:rsidR="00DF2CD6" w:rsidRDefault="00DF2CD6">
      <w:r>
        <w:t>• Theological Dictionary of the New Testament (TDNT)</w:t>
      </w:r>
    </w:p>
    <w:p w14:paraId="329F1B6A" w14:textId="77777777" w:rsidR="00DF2CD6" w:rsidRDefault="00DF2CD6">
      <w:r>
        <w:t>• New International Dictionary of New Testament Theology and Exegesis (NIDNTTE)</w:t>
      </w:r>
    </w:p>
    <w:p w14:paraId="1CEB6FA0" w14:textId="77777777" w:rsidR="00DF2CD6" w:rsidRDefault="00DF2CD6">
      <w:r>
        <w:t>• Thayer's Greek-English Lexicon of the New Testament</w:t>
      </w:r>
    </w:p>
    <w:p w14:paraId="0F2616DC" w14:textId="77777777" w:rsidR="00DF2CD6" w:rsidRDefault="00DF2CD6">
      <w:r>
        <w:t>• Blue Letter Bible</w:t>
      </w:r>
    </w:p>
    <w:p w14:paraId="43479F35" w14:textId="77777777" w:rsidR="004C5552" w:rsidRDefault="00DF2CD6">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2CD6"/>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AF3C"/>
  <w15:chartTrackingRefBased/>
  <w15:docId w15:val="{6305CC53-0CA0-47D3-B86C-FDF323DB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2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CD6"/>
    <w:rPr>
      <w:rFonts w:eastAsiaTheme="majorEastAsia" w:cstheme="majorBidi"/>
      <w:color w:val="272727" w:themeColor="text1" w:themeTint="D8"/>
    </w:rPr>
  </w:style>
  <w:style w:type="paragraph" w:styleId="Title">
    <w:name w:val="Title"/>
    <w:basedOn w:val="Normal"/>
    <w:next w:val="Normal"/>
    <w:link w:val="TitleChar"/>
    <w:uiPriority w:val="10"/>
    <w:qFormat/>
    <w:rsid w:val="00DF2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CD6"/>
    <w:pPr>
      <w:spacing w:before="160"/>
      <w:jc w:val="center"/>
    </w:pPr>
    <w:rPr>
      <w:i/>
      <w:iCs/>
      <w:color w:val="404040" w:themeColor="text1" w:themeTint="BF"/>
    </w:rPr>
  </w:style>
  <w:style w:type="character" w:customStyle="1" w:styleId="QuoteChar">
    <w:name w:val="Quote Char"/>
    <w:basedOn w:val="DefaultParagraphFont"/>
    <w:link w:val="Quote"/>
    <w:uiPriority w:val="29"/>
    <w:rsid w:val="00DF2CD6"/>
    <w:rPr>
      <w:i/>
      <w:iCs/>
      <w:color w:val="404040" w:themeColor="text1" w:themeTint="BF"/>
    </w:rPr>
  </w:style>
  <w:style w:type="paragraph" w:styleId="ListParagraph">
    <w:name w:val="List Paragraph"/>
    <w:basedOn w:val="Normal"/>
    <w:uiPriority w:val="34"/>
    <w:qFormat/>
    <w:rsid w:val="00DF2CD6"/>
    <w:pPr>
      <w:ind w:left="720"/>
      <w:contextualSpacing/>
    </w:pPr>
  </w:style>
  <w:style w:type="character" w:styleId="IntenseEmphasis">
    <w:name w:val="Intense Emphasis"/>
    <w:basedOn w:val="DefaultParagraphFont"/>
    <w:uiPriority w:val="21"/>
    <w:qFormat/>
    <w:rsid w:val="00DF2CD6"/>
    <w:rPr>
      <w:i/>
      <w:iCs/>
      <w:color w:val="2E74B5" w:themeColor="accent1" w:themeShade="BF"/>
    </w:rPr>
  </w:style>
  <w:style w:type="paragraph" w:styleId="IntenseQuote">
    <w:name w:val="Intense Quote"/>
    <w:basedOn w:val="Normal"/>
    <w:next w:val="Normal"/>
    <w:link w:val="IntenseQuoteChar"/>
    <w:uiPriority w:val="30"/>
    <w:qFormat/>
    <w:rsid w:val="00DF2C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2CD6"/>
    <w:rPr>
      <w:i/>
      <w:iCs/>
      <w:color w:val="2E74B5" w:themeColor="accent1" w:themeShade="BF"/>
    </w:rPr>
  </w:style>
  <w:style w:type="character" w:styleId="IntenseReference">
    <w:name w:val="Intense Reference"/>
    <w:basedOn w:val="DefaultParagraphFont"/>
    <w:uiPriority w:val="32"/>
    <w:qFormat/>
    <w:rsid w:val="00DF2C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4667</Characters>
  <Application>Microsoft Office Word</Application>
  <DocSecurity>0</DocSecurity>
  <Lines>89</Lines>
  <Paragraphs>48</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