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5BBE" w14:textId="77777777" w:rsidR="00246C0F" w:rsidRPr="00246C0F" w:rsidRDefault="00246C0F">
      <w:pPr>
        <w:rPr>
          <w:b/>
        </w:rPr>
      </w:pPr>
      <w:r w:rsidRPr="00246C0F">
        <w:rPr>
          <w:b/>
        </w:rPr>
        <w:t>SEPARATE - ( chorizo , Strong's G5563 )</w:t>
      </w:r>
    </w:p>
    <w:p w14:paraId="25BAE143" w14:textId="77777777" w:rsidR="00246C0F" w:rsidRDefault="00246C0F">
      <w:r w:rsidRPr="00246C0F">
        <w:rPr>
          <w:b/>
        </w:rPr>
        <w:t>Summary:</w:t>
      </w:r>
    </w:p>
    <w:p w14:paraId="06630A32" w14:textId="77777777" w:rsidR="00246C0F" w:rsidRDefault="00246C0F">
      <w:r>
        <w:t xml:space="preserve">The Greek term chorizo carries the core idea of placing space between things, dividing, or severing a union. In Matthew 19:6, Jesus uses this vivid legal and relational term to describe the binding nature of the marriage covenant, warning human authority against dismantling what God has joined together. </w:t>
      </w:r>
    </w:p>
    <w:p w14:paraId="08B24E95" w14:textId="77777777" w:rsidR="00246C0F" w:rsidRDefault="00246C0F"/>
    <w:p w14:paraId="5309DA27" w14:textId="77777777" w:rsidR="00246C0F" w:rsidRDefault="00246C0F">
      <w:r w:rsidRPr="00246C0F">
        <w:rPr>
          <w:b/>
        </w:rPr>
        <w:t>Full Study:</w:t>
      </w:r>
    </w:p>
    <w:p w14:paraId="57959F84" w14:textId="77777777" w:rsidR="00246C0F" w:rsidRDefault="00246C0F"/>
    <w:p w14:paraId="2B88FD3F" w14:textId="77777777" w:rsidR="00246C0F" w:rsidRPr="00246C0F" w:rsidRDefault="00246C0F">
      <w:pPr>
        <w:rPr>
          <w:b/>
        </w:rPr>
      </w:pPr>
      <w:r w:rsidRPr="00246C0F">
        <w:rPr>
          <w:b/>
        </w:rPr>
        <w:t>1. Word Picture / Background</w:t>
      </w:r>
    </w:p>
    <w:p w14:paraId="5128AB32" w14:textId="77777777" w:rsidR="00246C0F" w:rsidRDefault="00246C0F">
      <w:r>
        <w:t xml:space="preserve">- The verb is derived from the root adjective chros, meaning "room" or "space." </w:t>
      </w:r>
    </w:p>
    <w:p w14:paraId="03EAE82B" w14:textId="77777777" w:rsidR="00246C0F" w:rsidRDefault="00246C0F">
      <w:r>
        <w:t>- It physically pictures the act of moving two objects apart to create intervening distance or an empty space between them.</w:t>
      </w:r>
    </w:p>
    <w:p w14:paraId="0052ADF7" w14:textId="77777777" w:rsidR="00246C0F" w:rsidRDefault="00246C0F">
      <w:r>
        <w:t>- In the Greco-Roman world, the term was frequently used in legal, domestic, and social contexts to describe divorce, the dissolution of partnerships, or the physical parting of individuals.</w:t>
      </w:r>
    </w:p>
    <w:p w14:paraId="3AEB5330" w14:textId="77777777" w:rsidR="00246C0F" w:rsidRDefault="00246C0F"/>
    <w:p w14:paraId="549FBB66" w14:textId="77777777" w:rsidR="00246C0F" w:rsidRPr="00246C0F" w:rsidRDefault="00246C0F">
      <w:pPr>
        <w:rPr>
          <w:b/>
        </w:rPr>
      </w:pPr>
      <w:r w:rsidRPr="00246C0F">
        <w:rPr>
          <w:b/>
        </w:rPr>
        <w:t>2. Meaning / Lexical Definition</w:t>
      </w:r>
    </w:p>
    <w:p w14:paraId="060BC2EF" w14:textId="77777777" w:rsidR="00246C0F" w:rsidRDefault="00246C0F">
      <w:r>
        <w:t>- To separate, divide, part, or put asunder.</w:t>
      </w:r>
    </w:p>
    <w:p w14:paraId="5C2FD159" w14:textId="77777777" w:rsidR="00246C0F" w:rsidRDefault="00246C0F">
      <w:r>
        <w:t>- To sever a relationship or association that previously existed in unity.</w:t>
      </w:r>
    </w:p>
    <w:p w14:paraId="1ACFE70F" w14:textId="77777777" w:rsidR="00246C0F" w:rsidRDefault="00246C0F">
      <w:r>
        <w:t>- In the middle voice, it carries the nuance of departing, moving away from someone, or leaving a place.</w:t>
      </w:r>
    </w:p>
    <w:p w14:paraId="0B1DE11A" w14:textId="77777777" w:rsidR="00246C0F" w:rsidRDefault="00246C0F"/>
    <w:p w14:paraId="0EE71595" w14:textId="77777777" w:rsidR="00246C0F" w:rsidRPr="00246C0F" w:rsidRDefault="00246C0F">
      <w:pPr>
        <w:rPr>
          <w:b/>
        </w:rPr>
      </w:pPr>
      <w:r w:rsidRPr="00246C0F">
        <w:rPr>
          <w:b/>
        </w:rPr>
        <w:t>3. Usage and Word Pictures</w:t>
      </w:r>
    </w:p>
    <w:p w14:paraId="3AABC19C" w14:textId="77777777" w:rsidR="00246C0F" w:rsidRDefault="00246C0F">
      <w:r>
        <w:t>- The word evokes the imagery of tearing apart an integrated structure. When applied to marriage, it describes the unnatural fracturing of a union that God Himself has forged into a single entity.</w:t>
      </w:r>
    </w:p>
    <w:p w14:paraId="35F2261D" w14:textId="77777777" w:rsidR="00246C0F" w:rsidRDefault="00246C0F">
      <w:r>
        <w:t>- It highlights human capability versus moral authorization: humans possess the physical power to divide what God has joined, but they lack the ethical or spiritual right to do so.</w:t>
      </w:r>
    </w:p>
    <w:p w14:paraId="7A3905EE" w14:textId="77777777" w:rsidR="00246C0F" w:rsidRDefault="00246C0F"/>
    <w:p w14:paraId="7EA8A489" w14:textId="77777777" w:rsidR="00246C0F" w:rsidRPr="00246C0F" w:rsidRDefault="00246C0F">
      <w:pPr>
        <w:rPr>
          <w:b/>
        </w:rPr>
      </w:pPr>
      <w:r w:rsidRPr="00246C0F">
        <w:rPr>
          <w:b/>
        </w:rPr>
        <w:t>4. Theological Implications</w:t>
      </w:r>
    </w:p>
    <w:p w14:paraId="64F0CD3D" w14:textId="77777777" w:rsidR="00246C0F" w:rsidRDefault="00246C0F">
      <w:r>
        <w:t>- Marriage is fundamentally a divine institution (syndzeugnuo - "joined together by God"), not merely a civil contract. Therefore, human dissolution of marriage runs contrary to the original creational design.</w:t>
      </w:r>
    </w:p>
    <w:p w14:paraId="11265FDC" w14:textId="77777777" w:rsidR="00246C0F" w:rsidRDefault="00246C0F">
      <w:r>
        <w:t>- The permanence of the marriage bond reflects the unbreakable covenantal commitment God has toward His people, portraying a picture of loyalty that resists casual or self-serving termination.</w:t>
      </w:r>
    </w:p>
    <w:p w14:paraId="6FE85EBF" w14:textId="77777777" w:rsidR="00246C0F" w:rsidRDefault="00246C0F"/>
    <w:p w14:paraId="34075FC7" w14:textId="77777777" w:rsidR="00246C0F" w:rsidRPr="00246C0F" w:rsidRDefault="00246C0F">
      <w:pPr>
        <w:rPr>
          <w:b/>
        </w:rPr>
      </w:pPr>
      <w:r w:rsidRPr="00246C0F">
        <w:rPr>
          <w:b/>
        </w:rPr>
        <w:t>5. Contextual Nuance in the Passage</w:t>
      </w:r>
    </w:p>
    <w:p w14:paraId="7A4C256D" w14:textId="77777777" w:rsidR="00246C0F" w:rsidRDefault="00246C0F">
      <w:r>
        <w:t xml:space="preserve">- In Matthew 19:6, Jesus responds to the Pharisees' testing regarding divorce by pointing back to Genesis. </w:t>
      </w:r>
    </w:p>
    <w:p w14:paraId="366CC879" w14:textId="77777777" w:rsidR="00246C0F" w:rsidRDefault="00246C0F">
      <w:r>
        <w:t>- He commands, "Therefore what God has joined together, let not man separate." Here, chorizo acts as a divine prohibition against human-initiated divorce that violates the sacred, God-ordained permanence of marriage.</w:t>
      </w:r>
    </w:p>
    <w:p w14:paraId="4F2A7887" w14:textId="77777777" w:rsidR="00246C0F" w:rsidRDefault="00246C0F"/>
    <w:p w14:paraId="685ABFF2" w14:textId="77777777" w:rsidR="00246C0F" w:rsidRPr="00246C0F" w:rsidRDefault="00246C0F">
      <w:pPr>
        <w:rPr>
          <w:b/>
        </w:rPr>
      </w:pPr>
      <w:r w:rsidRPr="00246C0F">
        <w:rPr>
          <w:b/>
        </w:rPr>
        <w:t>6. Key Uses in Other Verses (NKJV)</w:t>
      </w:r>
    </w:p>
    <w:p w14:paraId="536B23A4" w14:textId="77777777" w:rsidR="00246C0F" w:rsidRDefault="00246C0F">
      <w:r>
        <w:t>- Romans 8:35: "Who shall separate us from the love of Christ? Shall tribulation, or distress, or persecution, or famine, or nakedness, or peril, or sword?"</w:t>
      </w:r>
    </w:p>
    <w:p w14:paraId="0580B9F2" w14:textId="77777777" w:rsidR="00246C0F" w:rsidRDefault="00246C0F">
      <w:r>
        <w:t>- Romans 8:39: "nor height nor depth, nor any other created thing, shall be able to separate us from the love of God which is in Christ Jesus our Lord."</w:t>
      </w:r>
    </w:p>
    <w:p w14:paraId="214454DE" w14:textId="77777777" w:rsidR="00246C0F" w:rsidRDefault="00246C0F">
      <w:r>
        <w:t>- Acts 1:4: "And being assembled together with them, He commanded them not to depart (chorizo) from Jerusalem, but to wait for the Promise of the Father..."</w:t>
      </w:r>
    </w:p>
    <w:p w14:paraId="36981D58" w14:textId="77777777" w:rsidR="00246C0F" w:rsidRDefault="00246C0F">
      <w:r>
        <w:t>- Acts 10:20: "Arise therefore, go down and go with them, doubting nothing; for I have sent them." (Note: In Acts 10:29, the related concept appears regarding relationships, but Romans 8 provides the primary theological parallels for unbreakable versus broken unions).</w:t>
      </w:r>
    </w:p>
    <w:p w14:paraId="1D67910A" w14:textId="77777777" w:rsidR="00246C0F" w:rsidRDefault="00246C0F"/>
    <w:p w14:paraId="488DA84C" w14:textId="77777777" w:rsidR="00246C0F" w:rsidRPr="00246C0F" w:rsidRDefault="00246C0F">
      <w:pPr>
        <w:rPr>
          <w:b/>
        </w:rPr>
      </w:pPr>
      <w:r w:rsidRPr="00246C0F">
        <w:rPr>
          <w:b/>
        </w:rPr>
        <w:t>7. Other Relevant Insights</w:t>
      </w:r>
    </w:p>
    <w:p w14:paraId="582CBB3A" w14:textId="77777777" w:rsidR="00246C0F" w:rsidRDefault="00246C0F">
      <w:r>
        <w:t>- The grammatical imperative in Matthew 19:6 is in the present tense, often signaling a prohibition against initiating an action or stopping an ongoing practice—essentially saying, "Stop trying to tear apart what God has bound."</w:t>
      </w:r>
    </w:p>
    <w:p w14:paraId="2CF7CE6B" w14:textId="77777777" w:rsidR="00246C0F" w:rsidRDefault="00246C0F">
      <w:r>
        <w:t>- While Scripture acknowledges the reality of human brokenness and provides strict allowances for separation and divorce in specific tragic circumstances (such as unfaithfulness or desertion), Jesus points the disciples back to the ideal standard of lifelong covenantal unity.</w:t>
      </w:r>
    </w:p>
    <w:p w14:paraId="30A27DC2" w14:textId="77777777" w:rsidR="00246C0F" w:rsidRDefault="00246C0F"/>
    <w:p w14:paraId="78B7796E" w14:textId="77777777" w:rsidR="00246C0F" w:rsidRPr="00246C0F" w:rsidRDefault="00246C0F">
      <w:pPr>
        <w:rPr>
          <w:b/>
        </w:rPr>
      </w:pPr>
      <w:r w:rsidRPr="00246C0F">
        <w:rPr>
          <w:b/>
        </w:rPr>
        <w:t>8. References</w:t>
      </w:r>
    </w:p>
    <w:p w14:paraId="568BE17D" w14:textId="77777777" w:rsidR="00246C0F" w:rsidRDefault="00246C0F">
      <w:r>
        <w:t>BDAG (A Greek-English Lexicon of the New Testament and Other Early Christian Literature)</w:t>
      </w:r>
    </w:p>
    <w:p w14:paraId="3C706080" w14:textId="77777777" w:rsidR="00246C0F" w:rsidRDefault="00246C0F">
      <w:r>
        <w:t>TDNT (Theological Dictionary of the New Testament)</w:t>
      </w:r>
    </w:p>
    <w:p w14:paraId="4391F18F" w14:textId="77777777" w:rsidR="00246C0F" w:rsidRDefault="00246C0F">
      <w:r>
        <w:t>NIDNTTE (New International Dictionary of New Testament Theology and Exegesis)</w:t>
      </w:r>
    </w:p>
    <w:p w14:paraId="4DD24047" w14:textId="77777777" w:rsidR="00246C0F" w:rsidRDefault="00246C0F">
      <w:r>
        <w:t>Vine's Expository Dictionary of New Testament Words</w:t>
      </w:r>
    </w:p>
    <w:p w14:paraId="02E03DE8" w14:textId="77777777" w:rsidR="00246C0F" w:rsidRDefault="00246C0F">
      <w:r>
        <w:t>Zodhiates, Spiros. The Complete Word Study Dictionary: New Testament</w:t>
      </w:r>
    </w:p>
    <w:p w14:paraId="590E4571" w14:textId="77777777" w:rsidR="00246C0F" w:rsidRDefault="00246C0F">
      <w:r>
        <w:t>Enduring World Bible Commentary (David Guzik)</w:t>
      </w:r>
    </w:p>
    <w:p w14:paraId="52088015" w14:textId="138AF35E" w:rsidR="004C5552" w:rsidRDefault="00246C0F">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0F"/>
    <w:rsid w:val="00017747"/>
    <w:rsid w:val="00023A4A"/>
    <w:rsid w:val="0006763F"/>
    <w:rsid w:val="000C53AC"/>
    <w:rsid w:val="00146083"/>
    <w:rsid w:val="001B2D17"/>
    <w:rsid w:val="002058F7"/>
    <w:rsid w:val="00224809"/>
    <w:rsid w:val="002357B1"/>
    <w:rsid w:val="002464EB"/>
    <w:rsid w:val="00246C0F"/>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7289"/>
  <w15:chartTrackingRefBased/>
  <w15:docId w15:val="{97ABD8D3-6A4F-4DFD-9770-17759413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C0F"/>
    <w:rPr>
      <w:rFonts w:eastAsiaTheme="majorEastAsia" w:cstheme="majorBidi"/>
      <w:color w:val="272727" w:themeColor="text1" w:themeTint="D8"/>
    </w:rPr>
  </w:style>
  <w:style w:type="paragraph" w:styleId="Title">
    <w:name w:val="Title"/>
    <w:basedOn w:val="Normal"/>
    <w:next w:val="Normal"/>
    <w:link w:val="TitleChar"/>
    <w:uiPriority w:val="10"/>
    <w:qFormat/>
    <w:rsid w:val="0024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C0F"/>
    <w:pPr>
      <w:spacing w:before="160"/>
      <w:jc w:val="center"/>
    </w:pPr>
    <w:rPr>
      <w:i/>
      <w:iCs/>
      <w:color w:val="404040" w:themeColor="text1" w:themeTint="BF"/>
    </w:rPr>
  </w:style>
  <w:style w:type="character" w:customStyle="1" w:styleId="QuoteChar">
    <w:name w:val="Quote Char"/>
    <w:basedOn w:val="DefaultParagraphFont"/>
    <w:link w:val="Quote"/>
    <w:uiPriority w:val="29"/>
    <w:rsid w:val="00246C0F"/>
    <w:rPr>
      <w:i/>
      <w:iCs/>
      <w:color w:val="404040" w:themeColor="text1" w:themeTint="BF"/>
    </w:rPr>
  </w:style>
  <w:style w:type="paragraph" w:styleId="ListParagraph">
    <w:name w:val="List Paragraph"/>
    <w:basedOn w:val="Normal"/>
    <w:uiPriority w:val="34"/>
    <w:qFormat/>
    <w:rsid w:val="00246C0F"/>
    <w:pPr>
      <w:ind w:left="720"/>
      <w:contextualSpacing/>
    </w:pPr>
  </w:style>
  <w:style w:type="character" w:styleId="IntenseEmphasis">
    <w:name w:val="Intense Emphasis"/>
    <w:basedOn w:val="DefaultParagraphFont"/>
    <w:uiPriority w:val="21"/>
    <w:qFormat/>
    <w:rsid w:val="00246C0F"/>
    <w:rPr>
      <w:i/>
      <w:iCs/>
      <w:color w:val="2E74B5" w:themeColor="accent1" w:themeShade="BF"/>
    </w:rPr>
  </w:style>
  <w:style w:type="paragraph" w:styleId="IntenseQuote">
    <w:name w:val="Intense Quote"/>
    <w:basedOn w:val="Normal"/>
    <w:next w:val="Normal"/>
    <w:link w:val="IntenseQuoteChar"/>
    <w:uiPriority w:val="30"/>
    <w:qFormat/>
    <w:rsid w:val="00246C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6C0F"/>
    <w:rPr>
      <w:i/>
      <w:iCs/>
      <w:color w:val="2E74B5" w:themeColor="accent1" w:themeShade="BF"/>
    </w:rPr>
  </w:style>
  <w:style w:type="character" w:styleId="IntenseReference">
    <w:name w:val="Intense Reference"/>
    <w:basedOn w:val="DefaultParagraphFont"/>
    <w:uiPriority w:val="32"/>
    <w:qFormat/>
    <w:rsid w:val="00246C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3357</Characters>
  <Application>Microsoft Office Word</Application>
  <DocSecurity>0</DocSecurity>
  <Lines>64</Lines>
  <Paragraphs>35</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