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B825" w14:textId="77777777" w:rsidR="00A30FAE" w:rsidRPr="00A30FAE" w:rsidRDefault="00A30FAE">
      <w:pPr>
        <w:rPr>
          <w:b/>
        </w:rPr>
      </w:pPr>
      <w:r w:rsidRPr="00A30FAE">
        <w:rPr>
          <w:b/>
        </w:rPr>
        <w:t>CERTIFICATE - ( apostasion , Strong's G647 )</w:t>
      </w:r>
    </w:p>
    <w:p w14:paraId="7D6E4164" w14:textId="77777777" w:rsidR="00A30FAE" w:rsidRDefault="00A30FAE">
      <w:r w:rsidRPr="00A30FAE">
        <w:rPr>
          <w:b/>
        </w:rPr>
        <w:t>Summary:</w:t>
      </w:r>
    </w:p>
    <w:p w14:paraId="35738F49" w14:textId="77777777" w:rsidR="00A30FAE" w:rsidRDefault="00A30FAE">
      <w:r>
        <w:t>The Greek noun apostasion refers to a legal document of separation, specifically a certificate or bill of divorce. In the context of the New Testament, it represents the formal, written instrument mandated by Mosaic law to legally dissolve a marriage. Rather than encouraging divorce, this document served as a protective measure for women in ancient society, establishing their legal freedom from their former husbands and guarding them against false charges of adultery or destitution.</w:t>
      </w:r>
    </w:p>
    <w:p w14:paraId="7456E099" w14:textId="77777777" w:rsidR="00A30FAE" w:rsidRDefault="00A30FAE"/>
    <w:p w14:paraId="687D43DF" w14:textId="77777777" w:rsidR="00A30FAE" w:rsidRDefault="00A30FAE">
      <w:r w:rsidRPr="00A30FAE">
        <w:rPr>
          <w:b/>
        </w:rPr>
        <w:t>Full Study:</w:t>
      </w:r>
    </w:p>
    <w:p w14:paraId="5BC7E1A6" w14:textId="77777777" w:rsidR="00A30FAE" w:rsidRDefault="00A30FAE"/>
    <w:p w14:paraId="145256E1" w14:textId="77777777" w:rsidR="00A30FAE" w:rsidRPr="00A30FAE" w:rsidRDefault="00A30FAE">
      <w:pPr>
        <w:rPr>
          <w:b/>
        </w:rPr>
      </w:pPr>
      <w:r w:rsidRPr="00A30FAE">
        <w:rPr>
          <w:b/>
        </w:rPr>
        <w:t>1. Word Picture / Background</w:t>
      </w:r>
    </w:p>
    <w:p w14:paraId="1DE5ACBD" w14:textId="77777777" w:rsidR="00A30FAE" w:rsidRDefault="00A30FAE">
      <w:r>
        <w:t>• In the ancient Near East, women possessed very few legal rights and were highly vulnerable to arbitrary abandonment. A husband could cast his wife out of his home verbally, leaving her destitute, socially disgraced, and unable to remarry because she was still technically bound to him.</w:t>
      </w:r>
    </w:p>
    <w:p w14:paraId="2A42F7AE" w14:textId="77777777" w:rsidR="00A30FAE" w:rsidRDefault="00A30FAE">
      <w:r>
        <w:t>• To curb this unjust practice, Mosaic law introduced a legal requirement in Deuteronomy 24:1–4. If a man chose to divorce his wife, he could not simply expel her; he had to write her a "certificate of divorce" (translated in the Septuagint as biblion apostasiou, a scroll of separation).</w:t>
      </w:r>
    </w:p>
    <w:p w14:paraId="1E1F0C7C" w14:textId="77777777" w:rsidR="00A30FAE" w:rsidRDefault="00A30FAE">
      <w:r>
        <w:t>• This written instrument was a formal legal release. It served as proof that the marriage was officially dissolved, protecting the woman's reputation and granting her the legal right to remarry without facing the death penalty for adultery.</w:t>
      </w:r>
    </w:p>
    <w:p w14:paraId="21C08AF7" w14:textId="77777777" w:rsidR="00A30FAE" w:rsidRDefault="00A30FAE"/>
    <w:p w14:paraId="7A8A6A58" w14:textId="77777777" w:rsidR="00A30FAE" w:rsidRPr="00A30FAE" w:rsidRDefault="00A30FAE">
      <w:pPr>
        <w:rPr>
          <w:b/>
        </w:rPr>
      </w:pPr>
      <w:r w:rsidRPr="00A30FAE">
        <w:rPr>
          <w:b/>
        </w:rPr>
        <w:t>2. Meaning / Lexical Definition</w:t>
      </w:r>
    </w:p>
    <w:p w14:paraId="51FCA6DF" w14:textId="77777777" w:rsidR="00A30FAE" w:rsidRDefault="00A30FAE">
      <w:r>
        <w:t>• Apostasion denotes a relinquishment, repudiation, or a writing of divorcement.</w:t>
      </w:r>
    </w:p>
    <w:p w14:paraId="57E34636" w14:textId="77777777" w:rsidR="00A30FAE" w:rsidRDefault="00A30FAE">
      <w:r>
        <w:t>• It is derived from the verb aphistemi, which means to remove, stand aloof, depart, or fall away.</w:t>
      </w:r>
    </w:p>
    <w:p w14:paraId="1475268E" w14:textId="77777777" w:rsidR="00A30FAE" w:rsidRDefault="00A30FAE">
      <w:r>
        <w:t>• In classical and Hellenistic Greek legal terminology, the word refers to a deed of sale, a release from a claim, or a formal document of relinquishment. In biblical usage, it refers exclusively to the bill of divorce that legally severed the marital covenant.</w:t>
      </w:r>
    </w:p>
    <w:p w14:paraId="68142398" w14:textId="77777777" w:rsidR="00A30FAE" w:rsidRDefault="00A30FAE"/>
    <w:p w14:paraId="78B74DA1" w14:textId="77777777" w:rsidR="00A30FAE" w:rsidRPr="00A30FAE" w:rsidRDefault="00A30FAE">
      <w:pPr>
        <w:rPr>
          <w:b/>
        </w:rPr>
      </w:pPr>
      <w:r w:rsidRPr="00A30FAE">
        <w:rPr>
          <w:b/>
        </w:rPr>
        <w:t>3. Usage and Word Pictures</w:t>
      </w:r>
    </w:p>
    <w:p w14:paraId="06F6198E" w14:textId="77777777" w:rsidR="00A30FAE" w:rsidRDefault="00A30FAE">
      <w:r>
        <w:t>• The term occurs three times in the New Testament (Matthew 5:31; 19:7; Mark 10:4), always in the context of Jesus' teachings on marriage and divorce.</w:t>
      </w:r>
    </w:p>
    <w:p w14:paraId="52FE68F6" w14:textId="77777777" w:rsidR="00A30FAE" w:rsidRDefault="00A30FAE">
      <w:r>
        <w:t>• In each New Testament occurrence, apostasion is paired with or implies the presence of biblion (book or scroll), emphasizing that the divorce had to be executed via a physical, written, and public legal document.</w:t>
      </w:r>
    </w:p>
    <w:p w14:paraId="02AF41D1" w14:textId="77777777" w:rsidR="00A30FAE" w:rsidRDefault="00A30FAE">
      <w:r>
        <w:t>• The root idea of aphistemi ("standing away" or "putting distance between") creates a clear word picture: the certificate of divorce was a tangible boundary marker. It declared that the husband had surrendered all rights, claims, and responsibilities toward the woman, placing her outside of his authority and domestic sphere.</w:t>
      </w:r>
    </w:p>
    <w:p w14:paraId="7FCB4276" w14:textId="77777777" w:rsidR="00A30FAE" w:rsidRDefault="00A30FAE"/>
    <w:p w14:paraId="25D67C6E" w14:textId="77777777" w:rsidR="00A30FAE" w:rsidRPr="00A30FAE" w:rsidRDefault="00A30FAE">
      <w:pPr>
        <w:rPr>
          <w:b/>
        </w:rPr>
      </w:pPr>
      <w:r w:rsidRPr="00A30FAE">
        <w:rPr>
          <w:b/>
        </w:rPr>
        <w:t>4. Theological Implications</w:t>
      </w:r>
    </w:p>
    <w:p w14:paraId="560561FC" w14:textId="77777777" w:rsidR="00A30FAE" w:rsidRDefault="00A30FAE">
      <w:r>
        <w:t>• The existence of the apostasion highlights the tension between God's ideal standard and His merciful accommodation to human sin. God's original design for marriage was lifelong, permanent oneness (Genesis 2:24).</w:t>
      </w:r>
    </w:p>
    <w:p w14:paraId="5D04616B" w14:textId="77777777" w:rsidR="00A30FAE" w:rsidRDefault="00A30FAE">
      <w:r>
        <w:t>• The provision of a certificate of divorce was never an endorsement of divorce itself. Instead, it was a civil concession designed to mitigate the effects of human depravity. It protected the vulnerable party (the wife) from the cruel consequences of unilateral abandonment.</w:t>
      </w:r>
    </w:p>
    <w:p w14:paraId="60A141E6" w14:textId="77777777" w:rsidR="00A30FAE" w:rsidRDefault="00A30FAE">
      <w:r>
        <w:t>• By requiring a formal, written document, the law forced husbands to act with deliberate legal process rather than rash anger, introducing a cooling-off period and involving public magistrates.</w:t>
      </w:r>
    </w:p>
    <w:p w14:paraId="7112CF00" w14:textId="77777777" w:rsidR="00A30FAE" w:rsidRDefault="00A30FAE"/>
    <w:p w14:paraId="769098A4" w14:textId="77777777" w:rsidR="00A30FAE" w:rsidRPr="00A30FAE" w:rsidRDefault="00A30FAE">
      <w:pPr>
        <w:rPr>
          <w:b/>
        </w:rPr>
      </w:pPr>
      <w:r w:rsidRPr="00A30FAE">
        <w:rPr>
          <w:b/>
        </w:rPr>
        <w:t>5. Contextual Nuance in the Passage</w:t>
      </w:r>
    </w:p>
    <w:p w14:paraId="57D430C4" w14:textId="77777777" w:rsidR="00A30FAE" w:rsidRDefault="00A30FAE">
      <w:r>
        <w:t>• In Matthew 19:7, the Pharisees approach Jesus with a trap, asking why Moses "commanded" (eneteilato) a man to give a certificate of divorce and dismiss his wife. Their language framed divorce as a positive commandment or duty.</w:t>
      </w:r>
    </w:p>
    <w:p w14:paraId="2B6916B8" w14:textId="77777777" w:rsidR="00A30FAE" w:rsidRDefault="00A30FAE">
      <w:r>
        <w:t>• Jesus corrects their premise in verse 8, shifting the verb from "commanded" to "permitted" (epetrepsen). The certificate was not a divine command to end marriages, but a legal permission granted because of the "hardness of [their] hearts."</w:t>
      </w:r>
    </w:p>
    <w:p w14:paraId="70A9E905" w14:textId="77777777" w:rsidR="00A30FAE" w:rsidRDefault="00A30FAE">
      <w:r>
        <w:t>• By pointing back to "the beginning," Jesus demonstrates that the legal certificate was a remedial measure for a broken world, not the original intent of the Creator.</w:t>
      </w:r>
    </w:p>
    <w:p w14:paraId="37BF9991" w14:textId="77777777" w:rsidR="00A30FAE" w:rsidRDefault="00A30FAE"/>
    <w:p w14:paraId="769CBAB0" w14:textId="77777777" w:rsidR="00A30FAE" w:rsidRPr="00A30FAE" w:rsidRDefault="00A30FAE">
      <w:pPr>
        <w:rPr>
          <w:b/>
        </w:rPr>
      </w:pPr>
      <w:r w:rsidRPr="00A30FAE">
        <w:rPr>
          <w:b/>
        </w:rPr>
        <w:t>6. Key Uses in Other Verses (NKJV)</w:t>
      </w:r>
    </w:p>
    <w:p w14:paraId="1436C078" w14:textId="77777777" w:rsidR="00A30FAE" w:rsidRDefault="00A30FAE">
      <w:r>
        <w:t>• Matthew 5:31 - "Furthermore it has been said, 'Whoever divorces his wife, let him give her a certificate of divorce.'"</w:t>
      </w:r>
    </w:p>
    <w:p w14:paraId="1010DE83" w14:textId="77777777" w:rsidR="00A30FAE" w:rsidRDefault="00A30FAE">
      <w:r>
        <w:t>• Mark 10:4 - "They said, 'Moses permitted a man to write a certificate of divorce, and to dismiss her.'"</w:t>
      </w:r>
    </w:p>
    <w:p w14:paraId="15C1E9F3" w14:textId="77777777" w:rsidR="00A30FAE" w:rsidRDefault="00A30FAE">
      <w:r>
        <w:t>• Deuteronomy 24:1 - "...then let him write her a certificate of divorce, put it in her hand, and send her out of his house." (LXX: biblion apostasiou)</w:t>
      </w:r>
    </w:p>
    <w:p w14:paraId="5CED2844" w14:textId="77777777" w:rsidR="00A30FAE" w:rsidRDefault="00A30FAE"/>
    <w:p w14:paraId="434869B4" w14:textId="77777777" w:rsidR="00A30FAE" w:rsidRPr="00A30FAE" w:rsidRDefault="00A30FAE">
      <w:pPr>
        <w:rPr>
          <w:b/>
        </w:rPr>
      </w:pPr>
      <w:r w:rsidRPr="00A30FAE">
        <w:rPr>
          <w:b/>
        </w:rPr>
        <w:t>7. Other Relevant Insights</w:t>
      </w:r>
    </w:p>
    <w:p w14:paraId="4E99EFA1" w14:textId="77777777" w:rsidR="00A30FAE" w:rsidRDefault="00A30FAE">
      <w:r>
        <w:t>• During the first century, Jewish rabbinic schools were sharply divided over Deuteronomy 24:1. The school of Shammai interpreted the grounds for divorce strictly, limiting it to marital unfaithfulness. The school of Hillel interpreted it broadly, allowing a certificate of divorce for almost any cause, including a ruined meal.</w:t>
      </w:r>
    </w:p>
    <w:p w14:paraId="5596066D" w14:textId="77777777" w:rsidR="00A30FAE" w:rsidRDefault="00A30FAE">
      <w:r>
        <w:t>• By asking Jesus about the certificate of divorce, the Pharisees were attempting to force Him to take sides in this popular debate. Jesus bypassed their rabbinic loopholes entirely by anchoring the discussion in the permanent nature of the creation covenant.</w:t>
      </w:r>
    </w:p>
    <w:p w14:paraId="3CB8D785" w14:textId="77777777" w:rsidR="00A30FAE" w:rsidRDefault="00A30FAE"/>
    <w:p w14:paraId="5E14A365" w14:textId="77777777" w:rsidR="00A30FAE" w:rsidRPr="00A30FAE" w:rsidRDefault="00A30FAE">
      <w:pPr>
        <w:rPr>
          <w:b/>
        </w:rPr>
      </w:pPr>
      <w:r w:rsidRPr="00A30FAE">
        <w:rPr>
          <w:b/>
        </w:rPr>
        <w:t>8. References</w:t>
      </w:r>
    </w:p>
    <w:p w14:paraId="41AB73EA" w14:textId="77777777" w:rsidR="00A30FAE" w:rsidRDefault="00A30FAE">
      <w:r>
        <w:t>• Greek-English Lexicon of the New Testament and Other Early Christian Literature (BDAG)</w:t>
      </w:r>
    </w:p>
    <w:p w14:paraId="0746157C" w14:textId="77777777" w:rsidR="00A30FAE" w:rsidRDefault="00A30FAE">
      <w:r>
        <w:t>• Thayer's Greek-English Lexicon of the New Testament</w:t>
      </w:r>
    </w:p>
    <w:p w14:paraId="383FB0A8" w14:textId="77777777" w:rsidR="00A30FAE" w:rsidRDefault="00A30FAE">
      <w:r>
        <w:t>• Theological Dictionary of the New Testament (TDNT)</w:t>
      </w:r>
    </w:p>
    <w:p w14:paraId="1855A2E8" w14:textId="77777777" w:rsidR="00A30FAE" w:rsidRDefault="00A30FAE">
      <w:r>
        <w:t>• New International Dictionary of New Testament Theology and Exegesis (NIDNTTE)</w:t>
      </w:r>
    </w:p>
    <w:p w14:paraId="3B32B6C4" w14:textId="77777777" w:rsidR="00A30FAE" w:rsidRDefault="00A30FAE">
      <w:r>
        <w:t>• Blue Letter Bible</w:t>
      </w:r>
    </w:p>
    <w:p w14:paraId="28246D36" w14:textId="239A59E4" w:rsidR="004C5552" w:rsidRDefault="00A30FA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F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0FAE"/>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658C"/>
  <w15:chartTrackingRefBased/>
  <w15:docId w15:val="{DD7BF3A8-A83B-48D1-9A28-288DC414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0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0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FAE"/>
    <w:rPr>
      <w:rFonts w:eastAsiaTheme="majorEastAsia" w:cstheme="majorBidi"/>
      <w:color w:val="272727" w:themeColor="text1" w:themeTint="D8"/>
    </w:rPr>
  </w:style>
  <w:style w:type="paragraph" w:styleId="Title">
    <w:name w:val="Title"/>
    <w:basedOn w:val="Normal"/>
    <w:next w:val="Normal"/>
    <w:link w:val="TitleChar"/>
    <w:uiPriority w:val="10"/>
    <w:qFormat/>
    <w:rsid w:val="00A30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FAE"/>
    <w:pPr>
      <w:spacing w:before="160"/>
      <w:jc w:val="center"/>
    </w:pPr>
    <w:rPr>
      <w:i/>
      <w:iCs/>
      <w:color w:val="404040" w:themeColor="text1" w:themeTint="BF"/>
    </w:rPr>
  </w:style>
  <w:style w:type="character" w:customStyle="1" w:styleId="QuoteChar">
    <w:name w:val="Quote Char"/>
    <w:basedOn w:val="DefaultParagraphFont"/>
    <w:link w:val="Quote"/>
    <w:uiPriority w:val="29"/>
    <w:rsid w:val="00A30FAE"/>
    <w:rPr>
      <w:i/>
      <w:iCs/>
      <w:color w:val="404040" w:themeColor="text1" w:themeTint="BF"/>
    </w:rPr>
  </w:style>
  <w:style w:type="paragraph" w:styleId="ListParagraph">
    <w:name w:val="List Paragraph"/>
    <w:basedOn w:val="Normal"/>
    <w:uiPriority w:val="34"/>
    <w:qFormat/>
    <w:rsid w:val="00A30FAE"/>
    <w:pPr>
      <w:ind w:left="720"/>
      <w:contextualSpacing/>
    </w:pPr>
  </w:style>
  <w:style w:type="character" w:styleId="IntenseEmphasis">
    <w:name w:val="Intense Emphasis"/>
    <w:basedOn w:val="DefaultParagraphFont"/>
    <w:uiPriority w:val="21"/>
    <w:qFormat/>
    <w:rsid w:val="00A30FAE"/>
    <w:rPr>
      <w:i/>
      <w:iCs/>
      <w:color w:val="2E74B5" w:themeColor="accent1" w:themeShade="BF"/>
    </w:rPr>
  </w:style>
  <w:style w:type="paragraph" w:styleId="IntenseQuote">
    <w:name w:val="Intense Quote"/>
    <w:basedOn w:val="Normal"/>
    <w:next w:val="Normal"/>
    <w:link w:val="IntenseQuoteChar"/>
    <w:uiPriority w:val="30"/>
    <w:qFormat/>
    <w:rsid w:val="00A30F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0FAE"/>
    <w:rPr>
      <w:i/>
      <w:iCs/>
      <w:color w:val="2E74B5" w:themeColor="accent1" w:themeShade="BF"/>
    </w:rPr>
  </w:style>
  <w:style w:type="character" w:styleId="IntenseReference">
    <w:name w:val="Intense Reference"/>
    <w:basedOn w:val="DefaultParagraphFont"/>
    <w:uiPriority w:val="32"/>
    <w:qFormat/>
    <w:rsid w:val="00A30F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4488</Characters>
  <Application>Microsoft Office Word</Application>
  <DocSecurity>0</DocSecurity>
  <Lines>86</Lines>
  <Paragraphs>46</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