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D1469" w14:textId="77777777" w:rsidR="00984610" w:rsidRPr="00984610" w:rsidRDefault="00984610">
      <w:pPr>
        <w:rPr>
          <w:b/>
        </w:rPr>
      </w:pPr>
      <w:r w:rsidRPr="00984610">
        <w:rPr>
          <w:b/>
        </w:rPr>
        <w:t>PHYLACTERIES - ( phylaktērion , Strong's G5440 )</w:t>
      </w:r>
    </w:p>
    <w:p w14:paraId="50EC395E" w14:textId="77777777" w:rsidR="00984610" w:rsidRDefault="00984610">
      <w:r w:rsidRPr="00984610">
        <w:rPr>
          <w:b/>
        </w:rPr>
        <w:t>Summary:</w:t>
      </w:r>
    </w:p>
    <w:p w14:paraId="075EE090" w14:textId="77777777" w:rsidR="00984610" w:rsidRDefault="00984610">
      <w:r>
        <w:t>A phylactery is a small leather box containing scripture scrolls inscribed with key passages from the Law (Deuteronomy 6:4–9; 11:13–21; Exodus 13:1–10, 11–16). Devout Jews wore these on the forehead and left arm during morning prayers as a literal implementation of the command to bind God's law as a sign on their hands and frontlets between their eyes. In Matthew 23:5, Jesus criticizes the religious leaders not for the practice itself, but for making these boxes exceptionally wide to ostentatiously display their piety and command human admiration.</w:t>
      </w:r>
    </w:p>
    <w:p w14:paraId="03C16E24" w14:textId="77777777" w:rsidR="00984610" w:rsidRDefault="00984610"/>
    <w:p w14:paraId="75E991C5" w14:textId="77777777" w:rsidR="00984610" w:rsidRDefault="00984610">
      <w:r w:rsidRPr="00984610">
        <w:rPr>
          <w:b/>
        </w:rPr>
        <w:t>Full Study:</w:t>
      </w:r>
    </w:p>
    <w:p w14:paraId="79E4E2AD" w14:textId="77777777" w:rsidR="00984610" w:rsidRDefault="00984610"/>
    <w:p w14:paraId="0C46B707" w14:textId="77777777" w:rsidR="00984610" w:rsidRPr="00984610" w:rsidRDefault="00984610">
      <w:pPr>
        <w:rPr>
          <w:b/>
        </w:rPr>
      </w:pPr>
      <w:r w:rsidRPr="00984610">
        <w:rPr>
          <w:b/>
        </w:rPr>
        <w:t>1. Word Picture / Background</w:t>
      </w:r>
    </w:p>
    <w:p w14:paraId="5867A88A" w14:textId="77777777" w:rsidR="00984610" w:rsidRDefault="00984610">
      <w:r>
        <w:t xml:space="preserve">The Greek term phylaktērion derives from the verb phylassō, which means "to guard, protect, or watch." In classical Greek and the broader ancient Near Eastern world, a phylaktērion referred to a safeguard, military outpost, amulet, or protective charm worn to ward off evil spirits and physical danger. </w:t>
      </w:r>
    </w:p>
    <w:p w14:paraId="3AB7FF67" w14:textId="77777777" w:rsidR="00984610" w:rsidRDefault="00984610"/>
    <w:p w14:paraId="23E78183" w14:textId="77777777" w:rsidR="00984610" w:rsidRDefault="00984610">
      <w:r>
        <w:t>When Jewish practices were translated into Greek, the term phylaktērion was adopted to translate the Hebrew concept of tefillin (prayers). While the surrounding pagan cultures viewed such objects as magical talismans, the biblical Jewish intent was a visual, physical reminder to actively "guard" the commandments of God in one's mind and heart. These small, black leather boxes contained four specific Old Testament passages written on parchment, representing the core commitments of the covenant. They were secured by long leather straps to the forehead (representing the thoughts) and the left arm pointing toward the heart (representing the affections and actions).</w:t>
      </w:r>
    </w:p>
    <w:p w14:paraId="20C0360F" w14:textId="77777777" w:rsidR="00984610" w:rsidRDefault="00984610"/>
    <w:p w14:paraId="13F31C00" w14:textId="77777777" w:rsidR="00984610" w:rsidRPr="00984610" w:rsidRDefault="00984610">
      <w:pPr>
        <w:rPr>
          <w:b/>
        </w:rPr>
      </w:pPr>
      <w:r w:rsidRPr="00984610">
        <w:rPr>
          <w:b/>
        </w:rPr>
        <w:t>2. Meaning / Lexical Definition</w:t>
      </w:r>
    </w:p>
    <w:p w14:paraId="5C8769B9" w14:textId="77777777" w:rsidR="00984610" w:rsidRDefault="00984610">
      <w:r>
        <w:t>• In classical and secular Greek, the term signifies a defense, guard post, safeguard, or protective amulet.</w:t>
      </w:r>
    </w:p>
    <w:p w14:paraId="40AD9B2C" w14:textId="77777777" w:rsidR="00984610" w:rsidRDefault="00984610">
      <w:r>
        <w:t>• In New Testament and Hellenistic Jewish usage, it refers specifically to the prayer-case or phylactery—the small leather box containing Scripture texts worn on the forehead and left arm during prayer.</w:t>
      </w:r>
    </w:p>
    <w:p w14:paraId="12AE7AC2" w14:textId="77777777" w:rsidR="00984610" w:rsidRDefault="00984610">
      <w:r>
        <w:t>• The semantic range shifted from an active military or magical "guarding" device to a concrete religious symbol of obedience and covenant remembrance.</w:t>
      </w:r>
    </w:p>
    <w:p w14:paraId="2C896A60" w14:textId="77777777" w:rsidR="00984610" w:rsidRDefault="00984610"/>
    <w:p w14:paraId="7F2CAEE2" w14:textId="77777777" w:rsidR="00984610" w:rsidRPr="00984610" w:rsidRDefault="00984610">
      <w:pPr>
        <w:rPr>
          <w:b/>
        </w:rPr>
      </w:pPr>
      <w:r w:rsidRPr="00984610">
        <w:rPr>
          <w:b/>
        </w:rPr>
        <w:t>3. Usage and Word Pictures</w:t>
      </w:r>
    </w:p>
    <w:p w14:paraId="5C4D8F4A" w14:textId="77777777" w:rsidR="00984610" w:rsidRDefault="00984610">
      <w:r>
        <w:t xml:space="preserve">The classical Greek word picture evokes a fortress or defensive shield. This imagery carries over to the spiritual life: the Word of God serves as the ultimate guard for the believer’s mind and actions against temptation and spiritual drift. </w:t>
      </w:r>
    </w:p>
    <w:p w14:paraId="6E041597" w14:textId="77777777" w:rsidR="00984610" w:rsidRDefault="00984610"/>
    <w:p w14:paraId="4EC17763" w14:textId="77777777" w:rsidR="00984610" w:rsidRDefault="00984610">
      <w:r>
        <w:t>By wearing the phylaktēria, the individual physically depicted the truth that their thoughts (the forehead) and their actions (the hand/arm) were captive to the guard of God's holy law. However, the word picture was subverted when the physical "guard" became an ornament of pride. Instead of guarding the soul against sin, the enlarged phylacteries exposed the soul to the sin of hypocrisy and self-exaltation.</w:t>
      </w:r>
    </w:p>
    <w:p w14:paraId="02F01E48" w14:textId="77777777" w:rsidR="00984610" w:rsidRDefault="00984610"/>
    <w:p w14:paraId="64901F0B" w14:textId="77777777" w:rsidR="00984610" w:rsidRPr="00984610" w:rsidRDefault="00984610">
      <w:pPr>
        <w:rPr>
          <w:b/>
        </w:rPr>
      </w:pPr>
      <w:r w:rsidRPr="00984610">
        <w:rPr>
          <w:b/>
        </w:rPr>
        <w:t>4. Theological Implications</w:t>
      </w:r>
    </w:p>
    <w:p w14:paraId="7CADDC1B" w14:textId="77777777" w:rsidR="00984610" w:rsidRDefault="00984610">
      <w:r>
        <w:t xml:space="preserve">The transition from a literal representation of Scripture to legalistic externalism highlights the constant human danger of ritualism. God desired the internal reality of His Word written on the heart (Deuteronomy 6:6; Jeremiah 31:33), but fallen human nature settled for an exaggerated outward symbol. </w:t>
      </w:r>
    </w:p>
    <w:p w14:paraId="5C7896E3" w14:textId="77777777" w:rsidR="00984610" w:rsidRDefault="00984610"/>
    <w:p w14:paraId="35AC0153" w14:textId="77777777" w:rsidR="00984610" w:rsidRDefault="00984610">
      <w:r>
        <w:t>This term illustrates the contrast between the outward form of godliness and its inward reality. It also warns against the paganization of biblical practices. When the Pharisees enlarged these boxes to gain social status and spiritual authority, they treated the holy words of God like pagan amulets designed to manipulate human perception and secure divine favor mechanically.</w:t>
      </w:r>
    </w:p>
    <w:p w14:paraId="131C3A4B" w14:textId="77777777" w:rsidR="00984610" w:rsidRDefault="00984610"/>
    <w:p w14:paraId="21CEDE58" w14:textId="77777777" w:rsidR="00984610" w:rsidRPr="00984610" w:rsidRDefault="00984610">
      <w:pPr>
        <w:rPr>
          <w:b/>
        </w:rPr>
      </w:pPr>
      <w:r w:rsidRPr="00984610">
        <w:rPr>
          <w:b/>
        </w:rPr>
        <w:t>5. Contextual Nuance in the Passage</w:t>
      </w:r>
    </w:p>
    <w:p w14:paraId="53F73865" w14:textId="77777777" w:rsidR="00984610" w:rsidRDefault="00984610">
      <w:r>
        <w:t xml:space="preserve">In Matthew 23:5, Jesus addresses the crowds and His disciples concerning the scribes and Pharisees. The immediate context is a scathing exposure of religious hypocrisy. The Pharisees "make their phylacteries broad." This means they increased the physical size of the leather cases or widened the leather straps holding them, making them highly visible to anyone passing by. </w:t>
      </w:r>
    </w:p>
    <w:p w14:paraId="539FC8AA" w14:textId="77777777" w:rsidR="00984610" w:rsidRDefault="00984610"/>
    <w:p w14:paraId="62798BA3" w14:textId="77777777" w:rsidR="00984610" w:rsidRDefault="00984610">
      <w:r>
        <w:t>This action was paired with "enlarging the borders of their garments" (the tzitzit or tassels commanded in Numbers 15:38–39). The contextual nuance is entirely focused on motivation. Jesus does not condemn the wearing of tefillin itself, but rather the motive of ostentation ("to be seen by men"). The outward symbol of humility and submission to God was transformed into an instrument of self-exaltation.</w:t>
      </w:r>
    </w:p>
    <w:p w14:paraId="43058F30" w14:textId="77777777" w:rsidR="00984610" w:rsidRDefault="00984610"/>
    <w:p w14:paraId="562B38E1" w14:textId="77777777" w:rsidR="00984610" w:rsidRPr="00984610" w:rsidRDefault="00984610">
      <w:pPr>
        <w:rPr>
          <w:b/>
        </w:rPr>
      </w:pPr>
      <w:r w:rsidRPr="00984610">
        <w:rPr>
          <w:b/>
        </w:rPr>
        <w:t>6. Key Uses in Other Verses (NKJV)</w:t>
      </w:r>
    </w:p>
    <w:p w14:paraId="3BEEEF0B" w14:textId="77777777" w:rsidR="00984610" w:rsidRDefault="00984610">
      <w:r>
        <w:t>The Greek word phylaktērion appears only once in the New Testament. Its equivalent biblical concept and Old Testament foundations include:</w:t>
      </w:r>
    </w:p>
    <w:p w14:paraId="5E099044" w14:textId="77777777" w:rsidR="00984610" w:rsidRDefault="00984610">
      <w:r>
        <w:t>• Matthew 23:5 – "But all their works they do to be seen by men. They make their phylacteries broad and enlarge the borders of their garments."</w:t>
      </w:r>
    </w:p>
    <w:p w14:paraId="36B98B09" w14:textId="77777777" w:rsidR="00984610" w:rsidRDefault="00984610">
      <w:r>
        <w:t>• Deuteronomy 6:8 – "You shall bind them as a sign on your hand, and they shall be as frontlets [LXX: asaleuta, meaning immovably fixed] between your eyes."</w:t>
      </w:r>
    </w:p>
    <w:p w14:paraId="2021C2F6" w14:textId="77777777" w:rsidR="00984610" w:rsidRDefault="00984610">
      <w:r>
        <w:t>• Exodus 13:9 – "It shall be as a sign to you on your hand and as a memorial [LXX: mnēmosynon] between your eyes, that the LORD’s law may be in your mouth..."</w:t>
      </w:r>
    </w:p>
    <w:p w14:paraId="3D5DC5BA" w14:textId="77777777" w:rsidR="00984610" w:rsidRDefault="00984610"/>
    <w:p w14:paraId="66914548" w14:textId="77777777" w:rsidR="00984610" w:rsidRPr="00984610" w:rsidRDefault="00984610">
      <w:pPr>
        <w:rPr>
          <w:b/>
        </w:rPr>
      </w:pPr>
      <w:r w:rsidRPr="00984610">
        <w:rPr>
          <w:b/>
        </w:rPr>
        <w:t>7. Other Relevant Insights</w:t>
      </w:r>
    </w:p>
    <w:p w14:paraId="2D85517C" w14:textId="77777777" w:rsidR="00984610" w:rsidRDefault="00984610">
      <w:r>
        <w:t>Archaeological discoveries at Qumran have recovered several ancient phylacteries dating back to the first century. These findings confirm that the practice of wearing these miniature scrolls was well-established during the Second Temple period and was not a later rabbinic invention. The Hebrew term for these items is tefillin, which is closely related to the word for "prayer" (tefillah). This points to their intended function as aids to deep, meditative prayer, making the Pharisaic abuse of them for public theater all the more offensive.</w:t>
      </w:r>
    </w:p>
    <w:p w14:paraId="389E2E31" w14:textId="77777777" w:rsidR="00984610" w:rsidRDefault="00984610"/>
    <w:p w14:paraId="7C14F0D6" w14:textId="77777777" w:rsidR="00984610" w:rsidRPr="00984610" w:rsidRDefault="00984610">
      <w:pPr>
        <w:rPr>
          <w:b/>
        </w:rPr>
      </w:pPr>
      <w:r w:rsidRPr="00984610">
        <w:rPr>
          <w:b/>
        </w:rPr>
        <w:t>8. References</w:t>
      </w:r>
    </w:p>
    <w:p w14:paraId="1431467A" w14:textId="77777777" w:rsidR="00984610" w:rsidRDefault="00984610">
      <w:r>
        <w:t>• BDAG Greek-English Lexicon of the New Testament</w:t>
      </w:r>
    </w:p>
    <w:p w14:paraId="0360108B" w14:textId="77777777" w:rsidR="00984610" w:rsidRDefault="00984610">
      <w:r>
        <w:t>• Thayer's Greek-English Lexicon</w:t>
      </w:r>
    </w:p>
    <w:p w14:paraId="7524E06A" w14:textId="77777777" w:rsidR="00984610" w:rsidRDefault="00984610">
      <w:r>
        <w:t>• Theological Dictionary of the New Testament (TDNT)</w:t>
      </w:r>
    </w:p>
    <w:p w14:paraId="1255088E" w14:textId="77777777" w:rsidR="00984610" w:rsidRDefault="00984610">
      <w:r>
        <w:t>• Vine's Expository Dictionary of New Testament Words</w:t>
      </w:r>
    </w:p>
    <w:p w14:paraId="27D5B1A5" w14:textId="77777777" w:rsidR="00984610" w:rsidRDefault="00984610">
      <w:r>
        <w:t>• Blue Letter Bible</w:t>
      </w:r>
    </w:p>
    <w:p w14:paraId="25490822" w14:textId="77777777" w:rsidR="00984610" w:rsidRDefault="00984610">
      <w:r>
        <w:t>• Precept Austin</w:t>
      </w:r>
    </w:p>
    <w:p w14:paraId="284E1EFE" w14:textId="7DC9BA0B" w:rsidR="004C5552" w:rsidRDefault="00984610">
      <w:r>
        <w:t>• MacArthur New Testament Commentary: Matthew</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61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84610"/>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9B4F2"/>
  <w15:chartTrackingRefBased/>
  <w15:docId w15:val="{ED2CC85D-D729-4B38-8853-CD23B84C3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846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6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6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6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846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6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6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610"/>
    <w:rPr>
      <w:rFonts w:eastAsiaTheme="majorEastAsia" w:cstheme="majorBidi"/>
      <w:color w:val="272727" w:themeColor="text1" w:themeTint="D8"/>
    </w:rPr>
  </w:style>
  <w:style w:type="paragraph" w:styleId="Title">
    <w:name w:val="Title"/>
    <w:basedOn w:val="Normal"/>
    <w:next w:val="Normal"/>
    <w:link w:val="TitleChar"/>
    <w:uiPriority w:val="10"/>
    <w:qFormat/>
    <w:rsid w:val="009846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6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6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6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4610"/>
    <w:pPr>
      <w:spacing w:before="160"/>
      <w:jc w:val="center"/>
    </w:pPr>
    <w:rPr>
      <w:i/>
      <w:iCs/>
      <w:color w:val="404040" w:themeColor="text1" w:themeTint="BF"/>
    </w:rPr>
  </w:style>
  <w:style w:type="character" w:customStyle="1" w:styleId="QuoteChar">
    <w:name w:val="Quote Char"/>
    <w:basedOn w:val="DefaultParagraphFont"/>
    <w:link w:val="Quote"/>
    <w:uiPriority w:val="29"/>
    <w:rsid w:val="00984610"/>
    <w:rPr>
      <w:i/>
      <w:iCs/>
      <w:color w:val="404040" w:themeColor="text1" w:themeTint="BF"/>
    </w:rPr>
  </w:style>
  <w:style w:type="paragraph" w:styleId="ListParagraph">
    <w:name w:val="List Paragraph"/>
    <w:basedOn w:val="Normal"/>
    <w:uiPriority w:val="34"/>
    <w:qFormat/>
    <w:rsid w:val="00984610"/>
    <w:pPr>
      <w:ind w:left="720"/>
      <w:contextualSpacing/>
    </w:pPr>
  </w:style>
  <w:style w:type="character" w:styleId="IntenseEmphasis">
    <w:name w:val="Intense Emphasis"/>
    <w:basedOn w:val="DefaultParagraphFont"/>
    <w:uiPriority w:val="21"/>
    <w:qFormat/>
    <w:rsid w:val="00984610"/>
    <w:rPr>
      <w:i/>
      <w:iCs/>
      <w:color w:val="2E74B5" w:themeColor="accent1" w:themeShade="BF"/>
    </w:rPr>
  </w:style>
  <w:style w:type="paragraph" w:styleId="IntenseQuote">
    <w:name w:val="Intense Quote"/>
    <w:basedOn w:val="Normal"/>
    <w:next w:val="Normal"/>
    <w:link w:val="IntenseQuoteChar"/>
    <w:uiPriority w:val="30"/>
    <w:qFormat/>
    <w:rsid w:val="0098461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84610"/>
    <w:rPr>
      <w:i/>
      <w:iCs/>
      <w:color w:val="2E74B5" w:themeColor="accent1" w:themeShade="BF"/>
    </w:rPr>
  </w:style>
  <w:style w:type="character" w:styleId="IntenseReference">
    <w:name w:val="Intense Reference"/>
    <w:basedOn w:val="DefaultParagraphFont"/>
    <w:uiPriority w:val="32"/>
    <w:qFormat/>
    <w:rsid w:val="0098461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941</Words>
  <Characters>4895</Characters>
  <Application>Microsoft Office Word</Application>
  <DocSecurity>0</DocSecurity>
  <Lines>94</Lines>
  <Paragraphs>51</Paragraphs>
  <ScaleCrop>false</ScaleCrop>
  <Company/>
  <LinksUpToDate>false</LinksUpToDate>
  <CharactersWithSpaces>5785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2026-08-13T02:25:00Z</dcterms:created>
  <dcterms:modified xsi:type="dcterms:W3CDTF">2026-08-13T02:25:00Z</dcterms:modified>
</cp:coreProperties>
</file>