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7036" w14:textId="77777777" w:rsidR="006831F3" w:rsidRPr="006831F3" w:rsidRDefault="006831F3">
      <w:pPr>
        <w:rPr>
          <w:b/>
        </w:rPr>
      </w:pPr>
      <w:r w:rsidRPr="006831F3">
        <w:rPr>
          <w:b/>
        </w:rPr>
        <w:t>CUSTOM - ( ethos , Strong's G1485 )</w:t>
      </w:r>
    </w:p>
    <w:p w14:paraId="33073BB4" w14:textId="77777777" w:rsidR="006831F3" w:rsidRDefault="006831F3">
      <w:r w:rsidRPr="006831F3">
        <w:rPr>
          <w:b/>
        </w:rPr>
        <w:t>Summary:</w:t>
      </w:r>
    </w:p>
    <w:p w14:paraId="2EAD9744" w14:textId="77777777" w:rsidR="006831F3" w:rsidRDefault="006831F3">
      <w:r>
        <w:t>The word ethos refers to a habit, usage, prescription, or rite that has become established through repetition and social or religious sanction. In the New Testament, it denotes both personal habits (such as Jesus' custom of praying on the Mount of Olives) and cultural or religious regulations (such as Jewish ceremonial customs or Roman legal practices). In Matthew 27:15, the closely related verbal cognate ethō (Strong's G1486) describes the governor's established practice or custom of releasing a prisoner during the Passover feast. This custom of political amnesty illustrates the intersection of Roman administrative strategy and Jewish religious expectations, setting the stage for the crowd's fateful choice between Barabbas and Jesus.</w:t>
      </w:r>
    </w:p>
    <w:p w14:paraId="55559C15" w14:textId="77777777" w:rsidR="006831F3" w:rsidRDefault="006831F3"/>
    <w:p w14:paraId="6893679C" w14:textId="77777777" w:rsidR="006831F3" w:rsidRDefault="006831F3">
      <w:r w:rsidRPr="006831F3">
        <w:rPr>
          <w:b/>
        </w:rPr>
        <w:t>Full Study:</w:t>
      </w:r>
    </w:p>
    <w:p w14:paraId="205E9C3F" w14:textId="77777777" w:rsidR="006831F3" w:rsidRDefault="006831F3"/>
    <w:p w14:paraId="64D53BBA" w14:textId="77777777" w:rsidR="006831F3" w:rsidRPr="006831F3" w:rsidRDefault="006831F3">
      <w:pPr>
        <w:rPr>
          <w:b/>
        </w:rPr>
      </w:pPr>
      <w:r w:rsidRPr="006831F3">
        <w:rPr>
          <w:b/>
        </w:rPr>
        <w:t>1. Word Picture / Background</w:t>
      </w:r>
    </w:p>
    <w:p w14:paraId="1EDF0F63" w14:textId="77777777" w:rsidR="006831F3" w:rsidRDefault="006831F3">
      <w:r>
        <w:t xml:space="preserve">The Greek noun ethos carries the fundamental idea of a customary practice, habit, or prescribed law. It shares an etymological relationship with ēthos (spelled with an eta, meaning character or moral nature), but ethos (spelled with an epsilon) specifically points to external, repeated behavior and societal norms. Historically, customs in the ancient Near East and Greco-Roman world served as unwritten laws that held as much weight as formal statutes. They defined cultural identity, maintained social order, and regulated religious devotion. </w:t>
      </w:r>
    </w:p>
    <w:p w14:paraId="28E932DC" w14:textId="77777777" w:rsidR="006831F3" w:rsidRDefault="006831F3"/>
    <w:p w14:paraId="5C02DA1A" w14:textId="77777777" w:rsidR="006831F3" w:rsidRPr="006831F3" w:rsidRDefault="006831F3">
      <w:pPr>
        <w:rPr>
          <w:b/>
        </w:rPr>
      </w:pPr>
      <w:r w:rsidRPr="006831F3">
        <w:rPr>
          <w:b/>
        </w:rPr>
        <w:t>2. Meaning / Lexical Definition</w:t>
      </w:r>
    </w:p>
    <w:p w14:paraId="6C0C8B4F" w14:textId="77777777" w:rsidR="006831F3" w:rsidRDefault="006831F3">
      <w:r>
        <w:t>• Ethos refers to a usage, custom, manner, or habit. Its semantic range includes:</w:t>
      </w:r>
    </w:p>
    <w:p w14:paraId="152EC73D" w14:textId="77777777" w:rsidR="006831F3" w:rsidRDefault="006831F3">
      <w:r>
        <w:t>• An individual habit, pattern of behavior, or personal routine.</w:t>
      </w:r>
    </w:p>
    <w:p w14:paraId="56107CF4" w14:textId="77777777" w:rsidR="006831F3" w:rsidRDefault="006831F3">
      <w:r>
        <w:t>• A national, cultural, or religious custom, law, or rite (particularly the Mosaic rites).</w:t>
      </w:r>
    </w:p>
    <w:p w14:paraId="130FEC96" w14:textId="77777777" w:rsidR="006831F3" w:rsidRDefault="006831F3">
      <w:r>
        <w:t>• A socio-political practice established by governing authorities.</w:t>
      </w:r>
    </w:p>
    <w:p w14:paraId="0199FB88" w14:textId="77777777" w:rsidR="006831F3" w:rsidRDefault="006831F3">
      <w:r>
        <w:t>In Matthew 27:15, the text employs the closely related verbal cognate ethō (Strong's G1486), which means to be accustomed, to be in the habit of, or to have an established custom. It signifies a repeated, expected action that has become a regular protocol.</w:t>
      </w:r>
    </w:p>
    <w:p w14:paraId="12C7D924" w14:textId="77777777" w:rsidR="006831F3" w:rsidRDefault="006831F3"/>
    <w:p w14:paraId="5480DE5E" w14:textId="77777777" w:rsidR="006831F3" w:rsidRPr="006831F3" w:rsidRDefault="006831F3">
      <w:pPr>
        <w:rPr>
          <w:b/>
        </w:rPr>
      </w:pPr>
      <w:r w:rsidRPr="006831F3">
        <w:rPr>
          <w:b/>
        </w:rPr>
        <w:t>3. Usage and Word Pictures</w:t>
      </w:r>
    </w:p>
    <w:p w14:paraId="51510E3A" w14:textId="77777777" w:rsidR="006831F3" w:rsidRDefault="006831F3">
      <w:r>
        <w:t>In the Septuagint and the New Testament, ethos is frequently used to describe the deeply ingrained religious traditions of Israel, such as the sacrificial rites or the festive pilgrimages. It paints a picture of a well-worn path—a behavioral groove that individuals or societies walk in repeatedly until it becomes an expected norm. When used of Jesus, it highlights His disciplined, consistent life of prayer and communal worship. When used of Roman or Jewish laws, it denotes the structural boundaries that governed daily life in the ancient Mediterranean world.</w:t>
      </w:r>
    </w:p>
    <w:p w14:paraId="456208DC" w14:textId="77777777" w:rsidR="006831F3" w:rsidRDefault="006831F3"/>
    <w:p w14:paraId="1C0E047C" w14:textId="77777777" w:rsidR="006831F3" w:rsidRPr="006831F3" w:rsidRDefault="006831F3">
      <w:pPr>
        <w:rPr>
          <w:b/>
        </w:rPr>
      </w:pPr>
      <w:r w:rsidRPr="006831F3">
        <w:rPr>
          <w:b/>
        </w:rPr>
        <w:t>4. Theological Implications</w:t>
      </w:r>
    </w:p>
    <w:p w14:paraId="72EBC1FA" w14:textId="77777777" w:rsidR="006831F3" w:rsidRDefault="006831F3">
      <w:r>
        <w:t>Customs can be positive, preserving life-giving disciplines (like Jesus' habit of prayer or synagogue attendance). However, customs can also degenerate into empty ritualism or serve as tools of political convenience. In the context of the Passion narrative, the "custom" of releasing a prisoner at Passover was likely a Roman concession designed to appease the Jewish populace and prevent riots during a volatile festival. Theologically, this custom highlights the irony of human justice: a custom designed for mercy and political goodwill is twisted by the crowd to release a violent rebel (Barabbas) and condemn the innocent Son of God.</w:t>
      </w:r>
    </w:p>
    <w:p w14:paraId="3E20C47B" w14:textId="77777777" w:rsidR="006831F3" w:rsidRDefault="006831F3"/>
    <w:p w14:paraId="4E769408" w14:textId="77777777" w:rsidR="006831F3" w:rsidRPr="006831F3" w:rsidRDefault="006831F3">
      <w:pPr>
        <w:rPr>
          <w:b/>
        </w:rPr>
      </w:pPr>
      <w:r w:rsidRPr="006831F3">
        <w:rPr>
          <w:b/>
        </w:rPr>
        <w:t>5. Contextual Nuance in the Passage</w:t>
      </w:r>
    </w:p>
    <w:p w14:paraId="278A4F53" w14:textId="77777777" w:rsidR="006831F3" w:rsidRDefault="006831F3">
      <w:r>
        <w:t>In Matthew 27:15, Pontius Pilate "was accustomed" (eiōthei) to releasing one prisoner. This custom (known historically as the privilegium Paschale or Paschal amnesty) was a strategic political tool. Passover was a highly nationalistic, volatile feast celebrating liberation from foreign oppression. By granting this annual favor, the Roman governor attempted to ease tensions. Matthew emphasizes this custom to show that Pilate did not act in a vacuum; he was bound by a popular expectation. Pilate tried to leverage this custom to release Jesus, whom he knew was innocent. However, the chief priests manipulated the custom to demand Barabbas, demonstrating how easily human customs can be corrupted to serve sinful ends.</w:t>
      </w:r>
    </w:p>
    <w:p w14:paraId="4C267953" w14:textId="77777777" w:rsidR="006831F3" w:rsidRDefault="006831F3"/>
    <w:p w14:paraId="2F4C185B" w14:textId="77777777" w:rsidR="006831F3" w:rsidRPr="006831F3" w:rsidRDefault="006831F3">
      <w:pPr>
        <w:rPr>
          <w:b/>
        </w:rPr>
      </w:pPr>
      <w:r w:rsidRPr="006831F3">
        <w:rPr>
          <w:b/>
        </w:rPr>
        <w:t>6. Key Uses in Other Verses (NKJV)</w:t>
      </w:r>
    </w:p>
    <w:p w14:paraId="08C4E826" w14:textId="77777777" w:rsidR="006831F3" w:rsidRDefault="006831F3">
      <w:r>
        <w:t>• Luke 2:42 - "When He was twelve years old, they went up to Jerusalem according to the custom of the feast."</w:t>
      </w:r>
    </w:p>
    <w:p w14:paraId="032571AC" w14:textId="77777777" w:rsidR="006831F3" w:rsidRDefault="006831F3">
      <w:r>
        <w:t>• Luke 22:39 - "Coming out, He went to the Mount of Olives, as was His custom, and His disciples also followed Him."</w:t>
      </w:r>
    </w:p>
    <w:p w14:paraId="50A83A32" w14:textId="77777777" w:rsidR="006831F3" w:rsidRDefault="006831F3">
      <w:r>
        <w:t>• Acts 6:14 - "for we have heard him say that this Jesus of Nazareth will destroy this place and change the customs which Moses delivered to us."</w:t>
      </w:r>
    </w:p>
    <w:p w14:paraId="4D2628B5" w14:textId="77777777" w:rsidR="006831F3" w:rsidRDefault="006831F3">
      <w:r>
        <w:t>• Acts 25:16 - "To them I answered, ‘It is not the custom of the Romans to deliver any man to destruction before the accused meets the accusers face to face, and has opportunity to answer for himself concerning the charge.’"</w:t>
      </w:r>
    </w:p>
    <w:p w14:paraId="017ACF19" w14:textId="77777777" w:rsidR="006831F3" w:rsidRDefault="006831F3">
      <w:r>
        <w:t>• Hebrews 10:25 - "not forsaking the assembling of ourselves together, as is the manner of some, but exhorting one another, and so much the more as you see the Day approaching."</w:t>
      </w:r>
    </w:p>
    <w:p w14:paraId="24E88067" w14:textId="77777777" w:rsidR="006831F3" w:rsidRDefault="006831F3"/>
    <w:p w14:paraId="44C1C2DE" w14:textId="77777777" w:rsidR="006831F3" w:rsidRPr="006831F3" w:rsidRDefault="006831F3">
      <w:pPr>
        <w:rPr>
          <w:b/>
        </w:rPr>
      </w:pPr>
      <w:r w:rsidRPr="006831F3">
        <w:rPr>
          <w:b/>
        </w:rPr>
        <w:t>7. Other Relevant Insights</w:t>
      </w:r>
    </w:p>
    <w:p w14:paraId="57AD7734" w14:textId="77777777" w:rsidR="006831F3" w:rsidRDefault="006831F3">
      <w:r>
        <w:t>The contrast between the "customs of Moses" (which the religious leaders guarded fiercely) and the "custom of the Romans" (which Pilate used) highlights the clashing worldviews in first-century Judea. Jesus stood at the center of this clash, ultimately fulfilling the true intent of the moral law while being crushed by the corrupted machinery of both Jewish and Roman customs. While human customs are temporary and subject to abuse, God's decree and covenant faithfulness remain unshakeable.</w:t>
      </w:r>
    </w:p>
    <w:p w14:paraId="330DDA9B" w14:textId="77777777" w:rsidR="006831F3" w:rsidRDefault="006831F3"/>
    <w:p w14:paraId="47E6B241" w14:textId="77777777" w:rsidR="006831F3" w:rsidRPr="006831F3" w:rsidRDefault="006831F3">
      <w:pPr>
        <w:rPr>
          <w:b/>
        </w:rPr>
      </w:pPr>
      <w:r w:rsidRPr="006831F3">
        <w:rPr>
          <w:b/>
        </w:rPr>
        <w:t>8. References</w:t>
      </w:r>
    </w:p>
    <w:p w14:paraId="5E2C6920" w14:textId="77777777" w:rsidR="006831F3" w:rsidRDefault="006831F3">
      <w:r>
        <w:t>• BDAG</w:t>
      </w:r>
    </w:p>
    <w:p w14:paraId="52EF14CF" w14:textId="77777777" w:rsidR="006831F3" w:rsidRDefault="006831F3">
      <w:r>
        <w:t>• Thayer's Greek-English Lexicon</w:t>
      </w:r>
    </w:p>
    <w:p w14:paraId="0C393E47" w14:textId="77777777" w:rsidR="006831F3" w:rsidRDefault="006831F3">
      <w:r>
        <w:t>• Vine's Expository Dictionary of New Testament Words</w:t>
      </w:r>
    </w:p>
    <w:p w14:paraId="07A38CB3" w14:textId="77777777" w:rsidR="006831F3" w:rsidRDefault="006831F3">
      <w:r>
        <w:t>• Blue Letter Bible</w:t>
      </w:r>
    </w:p>
    <w:p w14:paraId="06FCADDC" w14:textId="77777777" w:rsidR="006831F3" w:rsidRDefault="006831F3">
      <w:r>
        <w:t>• Precept Austin</w:t>
      </w:r>
    </w:p>
    <w:p w14:paraId="73C55AD2" w14:textId="26A6866C" w:rsidR="004C5552" w:rsidRDefault="006831F3">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1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831F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F0AE"/>
  <w15:chartTrackingRefBased/>
  <w15:docId w15:val="{DD555DDE-BD3A-4A44-9E43-44CBE20A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3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3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1F3"/>
    <w:rPr>
      <w:rFonts w:eastAsiaTheme="majorEastAsia" w:cstheme="majorBidi"/>
      <w:color w:val="272727" w:themeColor="text1" w:themeTint="D8"/>
    </w:rPr>
  </w:style>
  <w:style w:type="paragraph" w:styleId="Title">
    <w:name w:val="Title"/>
    <w:basedOn w:val="Normal"/>
    <w:next w:val="Normal"/>
    <w:link w:val="TitleChar"/>
    <w:uiPriority w:val="10"/>
    <w:qFormat/>
    <w:rsid w:val="00683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1F3"/>
    <w:pPr>
      <w:spacing w:before="160"/>
      <w:jc w:val="center"/>
    </w:pPr>
    <w:rPr>
      <w:i/>
      <w:iCs/>
      <w:color w:val="404040" w:themeColor="text1" w:themeTint="BF"/>
    </w:rPr>
  </w:style>
  <w:style w:type="character" w:customStyle="1" w:styleId="QuoteChar">
    <w:name w:val="Quote Char"/>
    <w:basedOn w:val="DefaultParagraphFont"/>
    <w:link w:val="Quote"/>
    <w:uiPriority w:val="29"/>
    <w:rsid w:val="006831F3"/>
    <w:rPr>
      <w:i/>
      <w:iCs/>
      <w:color w:val="404040" w:themeColor="text1" w:themeTint="BF"/>
    </w:rPr>
  </w:style>
  <w:style w:type="paragraph" w:styleId="ListParagraph">
    <w:name w:val="List Paragraph"/>
    <w:basedOn w:val="Normal"/>
    <w:uiPriority w:val="34"/>
    <w:qFormat/>
    <w:rsid w:val="006831F3"/>
    <w:pPr>
      <w:ind w:left="720"/>
      <w:contextualSpacing/>
    </w:pPr>
  </w:style>
  <w:style w:type="character" w:styleId="IntenseEmphasis">
    <w:name w:val="Intense Emphasis"/>
    <w:basedOn w:val="DefaultParagraphFont"/>
    <w:uiPriority w:val="21"/>
    <w:qFormat/>
    <w:rsid w:val="006831F3"/>
    <w:rPr>
      <w:i/>
      <w:iCs/>
      <w:color w:val="2E74B5" w:themeColor="accent1" w:themeShade="BF"/>
    </w:rPr>
  </w:style>
  <w:style w:type="paragraph" w:styleId="IntenseQuote">
    <w:name w:val="Intense Quote"/>
    <w:basedOn w:val="Normal"/>
    <w:next w:val="Normal"/>
    <w:link w:val="IntenseQuoteChar"/>
    <w:uiPriority w:val="30"/>
    <w:qFormat/>
    <w:rsid w:val="006831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31F3"/>
    <w:rPr>
      <w:i/>
      <w:iCs/>
      <w:color w:val="2E74B5" w:themeColor="accent1" w:themeShade="BF"/>
    </w:rPr>
  </w:style>
  <w:style w:type="character" w:styleId="IntenseReference">
    <w:name w:val="Intense Reference"/>
    <w:basedOn w:val="DefaultParagraphFont"/>
    <w:uiPriority w:val="32"/>
    <w:qFormat/>
    <w:rsid w:val="006831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4616</Characters>
  <Application>Microsoft Office Word</Application>
  <DocSecurity>0</DocSecurity>
  <Lines>88</Lines>
  <Paragraphs>48</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