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7680" w14:textId="77777777" w:rsidR="00274D49" w:rsidRPr="00274D49" w:rsidRDefault="00274D49">
      <w:pPr>
        <w:rPr>
          <w:b/>
        </w:rPr>
      </w:pPr>
      <w:r w:rsidRPr="00274D49">
        <w:rPr>
          <w:b/>
        </w:rPr>
        <w:t>KNOW - ( ginōskō , Strong's G1097 )</w:t>
      </w:r>
    </w:p>
    <w:p w14:paraId="19FC3E08" w14:textId="77777777" w:rsidR="00274D49" w:rsidRDefault="00274D49">
      <w:r w:rsidRPr="00274D49">
        <w:rPr>
          <w:b/>
        </w:rPr>
        <w:t>Summary:</w:t>
      </w:r>
    </w:p>
    <w:p w14:paraId="205B7555" w14:textId="77777777" w:rsidR="00274D49" w:rsidRDefault="00274D49">
      <w:r>
        <w:t>In Philippians 3:10, to "know" Christ goes far beyond possessing intellectual facts or theological information about Him. The Greek word ginōskō speaks of a deep, experiential, and relational intimacy. This is the kind of knowledge that grows through personal involvement, shared life, and active experience. For Paul, to "know Him" was not a distant academic pursuit but the passionate, consuming goal of entering into fellowship with a living Person.</w:t>
      </w:r>
    </w:p>
    <w:p w14:paraId="750AC07E" w14:textId="77777777" w:rsidR="00274D49" w:rsidRDefault="00274D49"/>
    <w:p w14:paraId="77867695" w14:textId="77777777" w:rsidR="00274D49" w:rsidRDefault="00274D49">
      <w:r w:rsidRPr="00274D49">
        <w:rPr>
          <w:b/>
        </w:rPr>
        <w:t>Full Study:</w:t>
      </w:r>
    </w:p>
    <w:p w14:paraId="5A3D9979" w14:textId="77777777" w:rsidR="00274D49" w:rsidRDefault="00274D49"/>
    <w:p w14:paraId="0CA15586" w14:textId="77777777" w:rsidR="00274D49" w:rsidRPr="00274D49" w:rsidRDefault="00274D49">
      <w:pPr>
        <w:rPr>
          <w:b/>
        </w:rPr>
      </w:pPr>
      <w:r w:rsidRPr="00274D49">
        <w:rPr>
          <w:b/>
        </w:rPr>
        <w:t>1. Word Picture / Background</w:t>
      </w:r>
    </w:p>
    <w:p w14:paraId="0FD67598" w14:textId="77777777" w:rsidR="00274D49" w:rsidRDefault="00274D49">
      <w:r>
        <w:t xml:space="preserve">In classical Greek culture, knowledge was often viewed as a mental exercise—something achieved through intellectual contemplation, observation, and philosophical reasoning. However, biblical Greek was profoundly shaped by the Hebrew mindset. In the Septuagint (the Greek translation of the Old Testament), ginōskō was the primary word used to translate the Hebrew word yada. </w:t>
      </w:r>
    </w:p>
    <w:p w14:paraId="49A7904F" w14:textId="77777777" w:rsidR="00274D49" w:rsidRDefault="00274D49"/>
    <w:p w14:paraId="2849F914" w14:textId="77777777" w:rsidR="00274D49" w:rsidRDefault="00274D49">
      <w:r>
        <w:t>In Hebrew thought, to "know" something or someone was intimately tied to experience and relationship. It was not merely observing from a distance but participating directly. For example, a person did not truly "know" a battle just by studying a map; they knew it by standing on the battlefield. Similarly, to "know" a person implied a deep relational bond, famously used as an idiom for the physical intimacy of marriage ("Adam knew Eve"). While Paul in Philippians is not using the marital idiom, he is leaning heavily on this Hebrew heritage: his knowledge of Christ is relational, participatory, and profoundly personal.</w:t>
      </w:r>
    </w:p>
    <w:p w14:paraId="500C1251" w14:textId="77777777" w:rsidR="00274D49" w:rsidRDefault="00274D49"/>
    <w:p w14:paraId="599CABF3" w14:textId="77777777" w:rsidR="00274D49" w:rsidRPr="00274D49" w:rsidRDefault="00274D49">
      <w:pPr>
        <w:rPr>
          <w:b/>
        </w:rPr>
      </w:pPr>
      <w:r w:rsidRPr="00274D49">
        <w:rPr>
          <w:b/>
        </w:rPr>
        <w:t>2. Meaning / Lexical Definition</w:t>
      </w:r>
    </w:p>
    <w:p w14:paraId="6BF65207" w14:textId="77777777" w:rsidR="00274D49" w:rsidRDefault="00274D49">
      <w:r>
        <w:t>• Ginōskō means to learn to know, to come to understand, to perceive, to recognize, or to experience. It represents a dynamic process of gaining knowledge through interaction and firsthand experience.</w:t>
      </w:r>
    </w:p>
    <w:p w14:paraId="4F334F35" w14:textId="77777777" w:rsidR="00274D49" w:rsidRDefault="00274D49"/>
    <w:p w14:paraId="0ECCEE46" w14:textId="77777777" w:rsidR="00274D49" w:rsidRDefault="00274D49">
      <w:r>
        <w:t xml:space="preserve">It is often contrasted with another common Greek word for knowledge, oida. While they can sometimes overlap in usage, oida frequently refers to intuitive, factual, or absolute knowledge (knowing a fact to be true). Ginōskō, by contrast, focuses on the process of coming to know something through observation, testing, and relational experience. It is the knowledge of an acquaintance growing into a profound friendship. </w:t>
      </w:r>
    </w:p>
    <w:p w14:paraId="62D14780" w14:textId="77777777" w:rsidR="00274D49" w:rsidRDefault="00274D49"/>
    <w:p w14:paraId="49B3AABD" w14:textId="77777777" w:rsidR="00274D49" w:rsidRPr="00274D49" w:rsidRDefault="00274D49">
      <w:pPr>
        <w:rPr>
          <w:b/>
        </w:rPr>
      </w:pPr>
      <w:r w:rsidRPr="00274D49">
        <w:rPr>
          <w:b/>
        </w:rPr>
        <w:t>3. Usage and Word Pictures</w:t>
      </w:r>
    </w:p>
    <w:p w14:paraId="2B71F6E2" w14:textId="77777777" w:rsidR="00274D49" w:rsidRDefault="00274D49">
      <w:r>
        <w:t>• A Process of Discovery: Ginōskō is active. It involves an ongoing relationship where new depths of the person are continually discovered.</w:t>
      </w:r>
    </w:p>
    <w:p w14:paraId="32C4D7BA" w14:textId="77777777" w:rsidR="00274D49" w:rsidRDefault="00274D49">
      <w:r>
        <w:t>• Knowledge by Experience: It is the difference between knowing that a fire is hot because you read about it (oida) and knowing it is hot because you felt its warmth (ginōskō).</w:t>
      </w:r>
    </w:p>
    <w:p w14:paraId="48D2640D" w14:textId="77777777" w:rsidR="00274D49" w:rsidRDefault="00274D49">
      <w:r>
        <w:t>• Relational Intimacy: In the New Testament, this word is frequently used to describe the reciprocal, loving relationship between God and His people.</w:t>
      </w:r>
    </w:p>
    <w:p w14:paraId="3D9B73D3" w14:textId="77777777" w:rsidR="00274D49" w:rsidRDefault="00274D49"/>
    <w:p w14:paraId="0111D8B9" w14:textId="77777777" w:rsidR="00274D49" w:rsidRPr="00274D49" w:rsidRDefault="00274D49">
      <w:pPr>
        <w:rPr>
          <w:b/>
        </w:rPr>
      </w:pPr>
      <w:r w:rsidRPr="00274D49">
        <w:rPr>
          <w:b/>
        </w:rPr>
        <w:t>4. Theological Implications</w:t>
      </w:r>
    </w:p>
    <w:p w14:paraId="32243E99" w14:textId="77777777" w:rsidR="00274D49" w:rsidRDefault="00274D49">
      <w:r>
        <w:t>The biblical concept of salvation is fundamentally defined by this word. Jesus declared that eternal life itself is to know God (John 17:3). Christianity is not merely the adoption of a moral code or agreement with a set of doctrinal propositions; it is an active, living union with Christ. Conversely, the ultimate tragedy of divine judgment is characterized by the absence of this relationship. In Matthew 7:23, Christ turns away the false disciples not because they lacked religious activity, but because He "never knew" them—there was no mutual, authentic relationship.</w:t>
      </w:r>
    </w:p>
    <w:p w14:paraId="2499CB2E" w14:textId="77777777" w:rsidR="00274D49" w:rsidRDefault="00274D49"/>
    <w:p w14:paraId="40FB7048" w14:textId="77777777" w:rsidR="00274D49" w:rsidRPr="00274D49" w:rsidRDefault="00274D49">
      <w:pPr>
        <w:rPr>
          <w:b/>
        </w:rPr>
      </w:pPr>
      <w:r w:rsidRPr="00274D49">
        <w:rPr>
          <w:b/>
        </w:rPr>
        <w:t>5. Contextual Nuance in the Passage</w:t>
      </w:r>
    </w:p>
    <w:p w14:paraId="15307F91" w14:textId="77777777" w:rsidR="00274D49" w:rsidRDefault="00274D49">
      <w:r>
        <w:t xml:space="preserve">In Philippians 3, Paul recounts his impressive religious pedigree (verses 4-6). He had perfect doctrinal training, meticulous legal obedience, and unparalleled zeal. Yet, he counts it all as "rubbish" (refuse) compared to the excellence of the knowledge (gnōsis, the noun form) of Christ. </w:t>
      </w:r>
    </w:p>
    <w:p w14:paraId="453AF147" w14:textId="77777777" w:rsidR="00274D49" w:rsidRDefault="00274D49"/>
    <w:p w14:paraId="0FD18BDD" w14:textId="77777777" w:rsidR="00274D49" w:rsidRDefault="00274D49">
      <w:r>
        <w:t>In verse 10, he states his ultimate life objective using the verb: "that I may know Him..." This knowing is immediately linked to two highly experiential realities: "the power of His resurrection" and "the fellowship of His sufferings." Paul understands that one cannot learn resurrection power from a textbook; it must be experienced by a life that depends on the Holy Spirit. One cannot understand Christ's sufferings academically; they are known only by sharing in them. Paul desires to know Christ in the trenches of real life, in both triumphant power and agonizing hardship.</w:t>
      </w:r>
    </w:p>
    <w:p w14:paraId="1CE2F00A" w14:textId="77777777" w:rsidR="00274D49" w:rsidRDefault="00274D49"/>
    <w:p w14:paraId="55D367B4" w14:textId="77777777" w:rsidR="00274D49" w:rsidRPr="00274D49" w:rsidRDefault="00274D49">
      <w:pPr>
        <w:rPr>
          <w:b/>
        </w:rPr>
      </w:pPr>
      <w:r w:rsidRPr="00274D49">
        <w:rPr>
          <w:b/>
        </w:rPr>
        <w:t>6. Key Uses in Other Verses (NKJV)</w:t>
      </w:r>
    </w:p>
    <w:p w14:paraId="5A50FF2B" w14:textId="77777777" w:rsidR="00274D49" w:rsidRDefault="00274D49">
      <w:r>
        <w:t>• John 17:3 – "And this is eternal life, that they may know You, the only true God, and Jesus Christ whom You have sent."</w:t>
      </w:r>
    </w:p>
    <w:p w14:paraId="45F58CD7" w14:textId="77777777" w:rsidR="00274D49" w:rsidRDefault="00274D49">
      <w:r>
        <w:t>• Matthew 7:23 – "And then I will declare to them, 'I never knew you; depart from Me, you who practice lawlessness!'"</w:t>
      </w:r>
    </w:p>
    <w:p w14:paraId="54DB72FB" w14:textId="77777777" w:rsidR="00274D49" w:rsidRDefault="00274D49">
      <w:r>
        <w:t>• 1 John 4:8 – "He who does not love does not know God, for God is love."</w:t>
      </w:r>
    </w:p>
    <w:p w14:paraId="375E54BA" w14:textId="77777777" w:rsidR="00274D49" w:rsidRDefault="00274D49">
      <w:r>
        <w:t>• Ephesians 3:19 – "to know the love of Christ which passes knowledge; that you may be filled with all the fullness of God."</w:t>
      </w:r>
    </w:p>
    <w:p w14:paraId="4A91D7EC" w14:textId="77777777" w:rsidR="00274D49" w:rsidRDefault="00274D49">
      <w:r>
        <w:t>• John 10:14 – "I am the good shepherd; and I know My sheep, and am known by My own."</w:t>
      </w:r>
    </w:p>
    <w:p w14:paraId="47DC42BE" w14:textId="77777777" w:rsidR="00274D49" w:rsidRDefault="00274D49"/>
    <w:p w14:paraId="62CA0329" w14:textId="77777777" w:rsidR="00274D49" w:rsidRPr="00274D49" w:rsidRDefault="00274D49">
      <w:pPr>
        <w:rPr>
          <w:b/>
        </w:rPr>
      </w:pPr>
      <w:r w:rsidRPr="00274D49">
        <w:rPr>
          <w:b/>
        </w:rPr>
        <w:t>7. Other Relevant Insights</w:t>
      </w:r>
    </w:p>
    <w:p w14:paraId="49FA2F3D" w14:textId="77777777" w:rsidR="00274D49" w:rsidRDefault="00274D49">
      <w:r>
        <w:t xml:space="preserve">Grammatically, "that I may know" in Philippians 3:10 is an aorist infinitive in the Greek (gnōnai). The aorist tense here does not mean a one-time past action, but rather summarizes the action as a single, unified whole. Paul is gathering up the entirety of his life, his ministry, his trials, and his future, and distilling it into one, singular, overarching goal: To know Him. It is the definitive purpose statement of the apostle's life. </w:t>
      </w:r>
    </w:p>
    <w:p w14:paraId="13C59D4F" w14:textId="77777777" w:rsidR="00274D49" w:rsidRDefault="00274D49"/>
    <w:p w14:paraId="271D64EA" w14:textId="77777777" w:rsidR="00274D49" w:rsidRPr="00274D49" w:rsidRDefault="00274D49">
      <w:pPr>
        <w:rPr>
          <w:b/>
        </w:rPr>
      </w:pPr>
      <w:r w:rsidRPr="00274D49">
        <w:rPr>
          <w:b/>
        </w:rPr>
        <w:t>8. References</w:t>
      </w:r>
    </w:p>
    <w:p w14:paraId="76495918" w14:textId="77777777" w:rsidR="00274D49" w:rsidRDefault="00274D49">
      <w:r>
        <w:t>• Bauer, W., Danker, F. W., Arndt, W. F., &amp; Gingrich, F. W. (BDAG). A Greek-English Lexicon of the New Testament and Other Early Christian Literature.</w:t>
      </w:r>
    </w:p>
    <w:p w14:paraId="50E00D6A" w14:textId="77777777" w:rsidR="00274D49" w:rsidRDefault="00274D49">
      <w:r>
        <w:t>• Kittel, G., Friedrich, G., &amp; Bromiley, G. W. Theological Dictionary of the New Testament (TDNT).</w:t>
      </w:r>
    </w:p>
    <w:p w14:paraId="54C7AB12" w14:textId="77777777" w:rsidR="00274D49" w:rsidRDefault="00274D49">
      <w:r>
        <w:t>• Vine, W. E. Vine's Complete Expository Dictionary of Old and New Testament Words.</w:t>
      </w:r>
    </w:p>
    <w:p w14:paraId="371C7574" w14:textId="77777777" w:rsidR="00274D49" w:rsidRDefault="00274D49">
      <w:r>
        <w:t>• Zodhiates, S. The Complete Word Study Dictionary: New Testament.</w:t>
      </w:r>
    </w:p>
    <w:p w14:paraId="23ED8C66" w14:textId="59D2C5E5" w:rsidR="004C5552" w:rsidRDefault="00274D49">
      <w:r>
        <w:t>• Thayer, J. H.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49"/>
    <w:rsid w:val="00017747"/>
    <w:rsid w:val="00023A4A"/>
    <w:rsid w:val="0006763F"/>
    <w:rsid w:val="000C53AC"/>
    <w:rsid w:val="00146083"/>
    <w:rsid w:val="001B2D17"/>
    <w:rsid w:val="002058F7"/>
    <w:rsid w:val="00224809"/>
    <w:rsid w:val="002357B1"/>
    <w:rsid w:val="002464EB"/>
    <w:rsid w:val="00273F8C"/>
    <w:rsid w:val="00274D49"/>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2A62"/>
  <w15:chartTrackingRefBased/>
  <w15:docId w15:val="{0F0A1DF5-A1C2-45C3-B93A-5C843F9E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4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4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D49"/>
    <w:rPr>
      <w:rFonts w:eastAsiaTheme="majorEastAsia" w:cstheme="majorBidi"/>
      <w:color w:val="272727" w:themeColor="text1" w:themeTint="D8"/>
    </w:rPr>
  </w:style>
  <w:style w:type="paragraph" w:styleId="Title">
    <w:name w:val="Title"/>
    <w:basedOn w:val="Normal"/>
    <w:next w:val="Normal"/>
    <w:link w:val="TitleChar"/>
    <w:uiPriority w:val="10"/>
    <w:qFormat/>
    <w:rsid w:val="00274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D49"/>
    <w:pPr>
      <w:spacing w:before="160"/>
      <w:jc w:val="center"/>
    </w:pPr>
    <w:rPr>
      <w:i/>
      <w:iCs/>
      <w:color w:val="404040" w:themeColor="text1" w:themeTint="BF"/>
    </w:rPr>
  </w:style>
  <w:style w:type="character" w:customStyle="1" w:styleId="QuoteChar">
    <w:name w:val="Quote Char"/>
    <w:basedOn w:val="DefaultParagraphFont"/>
    <w:link w:val="Quote"/>
    <w:uiPriority w:val="29"/>
    <w:rsid w:val="00274D49"/>
    <w:rPr>
      <w:i/>
      <w:iCs/>
      <w:color w:val="404040" w:themeColor="text1" w:themeTint="BF"/>
    </w:rPr>
  </w:style>
  <w:style w:type="paragraph" w:styleId="ListParagraph">
    <w:name w:val="List Paragraph"/>
    <w:basedOn w:val="Normal"/>
    <w:uiPriority w:val="34"/>
    <w:qFormat/>
    <w:rsid w:val="00274D49"/>
    <w:pPr>
      <w:ind w:left="720"/>
      <w:contextualSpacing/>
    </w:pPr>
  </w:style>
  <w:style w:type="character" w:styleId="IntenseEmphasis">
    <w:name w:val="Intense Emphasis"/>
    <w:basedOn w:val="DefaultParagraphFont"/>
    <w:uiPriority w:val="21"/>
    <w:qFormat/>
    <w:rsid w:val="00274D49"/>
    <w:rPr>
      <w:i/>
      <w:iCs/>
      <w:color w:val="2E74B5" w:themeColor="accent1" w:themeShade="BF"/>
    </w:rPr>
  </w:style>
  <w:style w:type="paragraph" w:styleId="IntenseQuote">
    <w:name w:val="Intense Quote"/>
    <w:basedOn w:val="Normal"/>
    <w:next w:val="Normal"/>
    <w:link w:val="IntenseQuoteChar"/>
    <w:uiPriority w:val="30"/>
    <w:qFormat/>
    <w:rsid w:val="00274D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4D49"/>
    <w:rPr>
      <w:i/>
      <w:iCs/>
      <w:color w:val="2E74B5" w:themeColor="accent1" w:themeShade="BF"/>
    </w:rPr>
  </w:style>
  <w:style w:type="character" w:styleId="IntenseReference">
    <w:name w:val="Intense Reference"/>
    <w:basedOn w:val="DefaultParagraphFont"/>
    <w:uiPriority w:val="32"/>
    <w:qFormat/>
    <w:rsid w:val="00274D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4799</Characters>
  <Application>Microsoft Office Word</Application>
  <DocSecurity>0</DocSecurity>
  <Lines>92</Lines>
  <Paragraphs>50</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