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48A3" w14:textId="77777777" w:rsidR="004D6F08" w:rsidRPr="004D6F08" w:rsidRDefault="004D6F08">
      <w:pPr>
        <w:rPr>
          <w:b/>
        </w:rPr>
      </w:pPr>
      <w:r w:rsidRPr="004D6F08">
        <w:rPr>
          <w:b/>
        </w:rPr>
        <w:t>DAUGHTERS-IN-LAW - ( kallah , Strong's H3618 )</w:t>
      </w:r>
    </w:p>
    <w:p w14:paraId="771D7073" w14:textId="77777777" w:rsidR="004D6F08" w:rsidRDefault="004D6F08">
      <w:r w:rsidRPr="004D6F08">
        <w:rPr>
          <w:b/>
        </w:rPr>
        <w:t>Summary:</w:t>
      </w:r>
    </w:p>
    <w:p w14:paraId="5AC80388" w14:textId="77777777" w:rsidR="004D6F08" w:rsidRDefault="004D6F08">
      <w:r>
        <w:t>The Hebrew word kallah carries the dual meaning of "bride" and "daughter-in-law." Derived from a root meaning to crown, complete, or make perfect, it denotes a young woman who has entered a new family through marriage. In the patriarchal ancient Near East, a kallah was brought into her husband’s family home, forming a deep legal and relational bond with her parents-in-law. In Ruth 1:7, the plural form refers to Orpah and Ruth, highlighting their profound familial attachment to Naomi even after the deaths of their husbands, setting the stage for a covenantal demonstration of loyalty.</w:t>
      </w:r>
    </w:p>
    <w:p w14:paraId="1379A912" w14:textId="77777777" w:rsidR="004D6F08" w:rsidRDefault="004D6F08"/>
    <w:p w14:paraId="6C95844E" w14:textId="77777777" w:rsidR="004D6F08" w:rsidRDefault="004D6F08">
      <w:r w:rsidRPr="004D6F08">
        <w:rPr>
          <w:b/>
        </w:rPr>
        <w:t>Full Study:</w:t>
      </w:r>
    </w:p>
    <w:p w14:paraId="38356BF4" w14:textId="77777777" w:rsidR="004D6F08" w:rsidRDefault="004D6F08"/>
    <w:p w14:paraId="37F86E48" w14:textId="77777777" w:rsidR="004D6F08" w:rsidRPr="004D6F08" w:rsidRDefault="004D6F08">
      <w:pPr>
        <w:rPr>
          <w:b/>
        </w:rPr>
      </w:pPr>
      <w:r w:rsidRPr="004D6F08">
        <w:rPr>
          <w:b/>
        </w:rPr>
        <w:t xml:space="preserve"> 1. Word Picture / Background</w:t>
      </w:r>
    </w:p>
    <w:p w14:paraId="69CB9788" w14:textId="77777777" w:rsidR="004D6F08" w:rsidRDefault="004D6F08">
      <w:r>
        <w:t>In ancient Israel, marriage was not merely a union between two individuals but an alliance between two families. When a young woman married, she became a kallah. This term is closely related to the verb kalal, which means "to complete" or "to make perfect." In this sense, the kallah was viewed as the crowning completion of the household she entered. She was the one who would build up the family line, bear children, and ensure the continuation of the family's inheritance and name.</w:t>
      </w:r>
    </w:p>
    <w:p w14:paraId="716C9072" w14:textId="77777777" w:rsidR="004D6F08" w:rsidRDefault="004D6F08"/>
    <w:p w14:paraId="7BE85448" w14:textId="77777777" w:rsidR="004D6F08" w:rsidRDefault="004D6F08">
      <w:r>
        <w:t>Because Hebrew society was patrilocal, a kallah left her father's house to live within her father-in-law’s estate. This transition created a highly significant relationship between the kallah and her parents-in-law. She was under their protection, authority, and care. Consequently, the term kallah represents both a highly valued status of new life and beauty (a bride) and a domestic status of integration and vulnerability (a daughter-in-law).</w:t>
      </w:r>
    </w:p>
    <w:p w14:paraId="7798E09D" w14:textId="77777777" w:rsidR="004D6F08" w:rsidRDefault="004D6F08"/>
    <w:p w14:paraId="44772764" w14:textId="77777777" w:rsidR="004D6F08" w:rsidRPr="004D6F08" w:rsidRDefault="004D6F08">
      <w:pPr>
        <w:rPr>
          <w:b/>
        </w:rPr>
      </w:pPr>
      <w:r w:rsidRPr="004D6F08">
        <w:rPr>
          <w:b/>
        </w:rPr>
        <w:t xml:space="preserve"> 2. Meaning / Lexical Definition</w:t>
      </w:r>
    </w:p>
    <w:p w14:paraId="69C52F59" w14:textId="77777777" w:rsidR="004D6F08" w:rsidRDefault="004D6F08">
      <w:r>
        <w:t>The noun kallah occurs 34 times in the Hebrew Bible. Its semantic range is divided between two primary relational concepts:</w:t>
      </w:r>
    </w:p>
    <w:p w14:paraId="215AC525" w14:textId="77777777" w:rsidR="004D6F08" w:rsidRDefault="004D6F08">
      <w:r>
        <w:t>• Bride or Spouse: Referring to a newly betrothed or married woman in relation to her husband. In poetic literature, it represents the cherished, adorned object of a husband's love.</w:t>
      </w:r>
    </w:p>
    <w:p w14:paraId="32AD07DC" w14:textId="77777777" w:rsidR="004D6F08" w:rsidRDefault="004D6F08">
      <w:r>
        <w:t>• Daughter-in-law: Referring to a son's wife in relation to his parents. In legal and narrative contexts, it defines her standing within her husband's family, especially concerning domestic law, moral boundaries, and inheritance rights.</w:t>
      </w:r>
    </w:p>
    <w:p w14:paraId="095610F4" w14:textId="77777777" w:rsidR="004D6F08" w:rsidRDefault="004D6F08"/>
    <w:p w14:paraId="7C59ABC3" w14:textId="77777777" w:rsidR="004D6F08" w:rsidRDefault="004D6F08">
      <w:r>
        <w:t>The context of the passage always dictates which of these two meanings is intended. In narrative settings involving parents, kallah consistently denotes the daughter-in-law.</w:t>
      </w:r>
    </w:p>
    <w:p w14:paraId="25E0CE02" w14:textId="77777777" w:rsidR="004D6F08" w:rsidRDefault="004D6F08"/>
    <w:p w14:paraId="4628A642" w14:textId="77777777" w:rsidR="004D6F08" w:rsidRPr="004D6F08" w:rsidRDefault="004D6F08">
      <w:pPr>
        <w:rPr>
          <w:b/>
        </w:rPr>
      </w:pPr>
      <w:r w:rsidRPr="004D6F08">
        <w:rPr>
          <w:b/>
        </w:rPr>
        <w:t xml:space="preserve"> 3. Usage and Word Pictures</w:t>
      </w:r>
    </w:p>
    <w:p w14:paraId="45AA3A73" w14:textId="77777777" w:rsidR="004D6F08" w:rsidRDefault="004D6F08">
      <w:r>
        <w:t>The dual nature of kallah provides rich imagery throughout the Old Testament:</w:t>
      </w:r>
    </w:p>
    <w:p w14:paraId="29DFD89A" w14:textId="77777777" w:rsidR="004D6F08" w:rsidRDefault="004D6F08">
      <w:r>
        <w:t>• The Adorned Bride: In the Prophets, the kallah is a symbol of joy, beauty, and divine restoration. The way a bride adorns herself with jewels is used to illustrate how God clothes His people in garments of salvation. Conversely, the silencing of the voice of the bridegroom and the kallah represents divine judgment and desolation.</w:t>
      </w:r>
    </w:p>
    <w:p w14:paraId="796F1820" w14:textId="77777777" w:rsidR="004D6F08" w:rsidRDefault="004D6F08">
      <w:r>
        <w:t>• The Protected Daughter-in-Law: In the Torah, the kallah is protected by strict covenant boundaries. Levitical law establishes severe penalties for violating a daughter-in-law, treating such acts as a disruption of the natural order and family purity. This highlights her status as an adopted daughter within the home, deserving of honor and protection.</w:t>
      </w:r>
    </w:p>
    <w:p w14:paraId="59B16E05" w14:textId="77777777" w:rsidR="004D6F08" w:rsidRDefault="004D6F08"/>
    <w:p w14:paraId="72883839" w14:textId="77777777" w:rsidR="004D6F08" w:rsidRPr="004D6F08" w:rsidRDefault="004D6F08">
      <w:pPr>
        <w:rPr>
          <w:b/>
        </w:rPr>
      </w:pPr>
      <w:r w:rsidRPr="004D6F08">
        <w:rPr>
          <w:b/>
        </w:rPr>
        <w:t xml:space="preserve"> 4. Theological Implications</w:t>
      </w:r>
    </w:p>
    <w:p w14:paraId="69CB01F9" w14:textId="77777777" w:rsidR="004D6F08" w:rsidRDefault="004D6F08">
      <w:r>
        <w:t xml:space="preserve">The concept of the kallah in the book of Ruth serves as a beautiful picture of covenant loyalty (chesed). </w:t>
      </w:r>
    </w:p>
    <w:p w14:paraId="2F7CDEFB" w14:textId="77777777" w:rsidR="004D6F08" w:rsidRDefault="004D6F08">
      <w:r>
        <w:t>• Redefining Family: Legally, when Naomi's sons died, the formal connection between Naomi and her kalot (plural of kallah) was broken. They were childless widows, free to return to their maternal homes. However, the narrative uses the term kallah to emphasize that the relational bond survived the legal dissolution.</w:t>
      </w:r>
    </w:p>
    <w:p w14:paraId="747846F3" w14:textId="77777777" w:rsidR="004D6F08" w:rsidRDefault="004D6F08">
      <w:r>
        <w:t>• The Picture of Redemption: The kallah is the key to redeeming the empty household. Naomi returns to Judah empty, but through the loyalty of her Moabite kallah, Ruth, the family line is ultimately completed and crowned with a redeemer. This underscores the theological truth that God uses the vulnerable, the foreign, and the faithful to accomplish His grand redemptive purposes.</w:t>
      </w:r>
    </w:p>
    <w:p w14:paraId="4A3F149B" w14:textId="77777777" w:rsidR="004D6F08" w:rsidRDefault="004D6F08"/>
    <w:p w14:paraId="1AB5A3E3" w14:textId="77777777" w:rsidR="004D6F08" w:rsidRPr="004D6F08" w:rsidRDefault="004D6F08">
      <w:pPr>
        <w:rPr>
          <w:b/>
        </w:rPr>
      </w:pPr>
      <w:r w:rsidRPr="004D6F08">
        <w:rPr>
          <w:b/>
        </w:rPr>
        <w:t xml:space="preserve"> 5. Contextual Nuance in the Passage</w:t>
      </w:r>
    </w:p>
    <w:p w14:paraId="5B294AA0" w14:textId="77777777" w:rsidR="004D6F08" w:rsidRDefault="004D6F08">
      <w:r>
        <w:t>In Ruth 1:7, the text notes that Naomi "went out from the place where she was, and her two daughters-in-law with her." The repetition of the term "daughters-in-law" throughout the first chapter of Ruth is highly deliberate. It highlights the anomaly of their situation:</w:t>
      </w:r>
    </w:p>
    <w:p w14:paraId="77147D6D" w14:textId="77777777" w:rsidR="004D6F08" w:rsidRDefault="004D6F08">
      <w:r>
        <w:t>• They are in Moab, a foreign land, yet they are bound to an Israelite matriarch.</w:t>
      </w:r>
    </w:p>
    <w:p w14:paraId="2EF0B154" w14:textId="77777777" w:rsidR="004D6F08" w:rsidRDefault="004D6F08">
      <w:r>
        <w:t>• They are childless widows, yet they behave as devoted daughters.</w:t>
      </w:r>
    </w:p>
    <w:p w14:paraId="0B2580CE" w14:textId="77777777" w:rsidR="004D6F08" w:rsidRDefault="004D6F08">
      <w:r>
        <w:t>• When they set out on the road to Judah, they are acting against cultural norms. Normally, a widowed kallah without children would return to her father’s house to secure another marriage. By journeying with Naomi, Orpah and Ruth demonstrate that they still view themselves as Naomi's kalot, prioritizing their bond with her over their own social security.</w:t>
      </w:r>
    </w:p>
    <w:p w14:paraId="61CF55A1" w14:textId="77777777" w:rsidR="004D6F08" w:rsidRDefault="004D6F08"/>
    <w:p w14:paraId="4390A2DE" w14:textId="77777777" w:rsidR="004D6F08" w:rsidRPr="004D6F08" w:rsidRDefault="004D6F08">
      <w:pPr>
        <w:rPr>
          <w:b/>
        </w:rPr>
      </w:pPr>
      <w:r w:rsidRPr="004D6F08">
        <w:rPr>
          <w:b/>
        </w:rPr>
        <w:t xml:space="preserve"> 6. Key Uses in Other Verses (NKJV)</w:t>
      </w:r>
    </w:p>
    <w:p w14:paraId="040AD5C5" w14:textId="77777777" w:rsidR="004D6F08" w:rsidRDefault="004D6F08">
      <w:r>
        <w:t>• Genesis 38:11 – "Then Judah said to Tamar his daughter-in-law, 'Remain a widow in your father’s house till my son Shelah is grown.'"</w:t>
      </w:r>
    </w:p>
    <w:p w14:paraId="2E30F126" w14:textId="77777777" w:rsidR="004D6F08" w:rsidRDefault="004D6F08">
      <w:r>
        <w:t>• Leviticus 18:15 – "You shall not uncover the nakedness of your daughter-in-law; she is your son’s wife, you shall not uncover her nakedness."</w:t>
      </w:r>
    </w:p>
    <w:p w14:paraId="66710887" w14:textId="77777777" w:rsidR="004D6F08" w:rsidRDefault="004D6F08">
      <w:r>
        <w:t>• Song of Solomon 4:8 – "Come with me from Lebanon, my spouse, with me from Lebanon." (Here, kallah is translated as "spouse" or "bride").</w:t>
      </w:r>
    </w:p>
    <w:p w14:paraId="7632D861" w14:textId="77777777" w:rsidR="004D6F08" w:rsidRDefault="004D6F08">
      <w:r>
        <w:t>• Micah 7:6 – "For son dishonors father, daughter rises against her mother, daughter-in-law against her mother-in-law; a man’s enemies are the men of his own household."</w:t>
      </w:r>
    </w:p>
    <w:p w14:paraId="0A1FFA7E" w14:textId="77777777" w:rsidR="004D6F08" w:rsidRDefault="004D6F08"/>
    <w:p w14:paraId="3C185FE0" w14:textId="77777777" w:rsidR="004D6F08" w:rsidRPr="004D6F08" w:rsidRDefault="004D6F08">
      <w:pPr>
        <w:rPr>
          <w:b/>
        </w:rPr>
      </w:pPr>
      <w:r w:rsidRPr="004D6F08">
        <w:rPr>
          <w:b/>
        </w:rPr>
        <w:t xml:space="preserve"> 7. Other Relevant Insights</w:t>
      </w:r>
    </w:p>
    <w:p w14:paraId="0CDE0DE8" w14:textId="77777777" w:rsidR="004D6F08" w:rsidRDefault="004D6F08">
      <w:r>
        <w:t>A powerful contrast exists between Ruth's self-identification and her status as a kallah. In Ruth 2:10, Ruth refers to herself as a "foreigner" (nokriyah), expressing astonishment that Boaz would show her favor. While the community might have viewed her as a foreign outsider, Naomi's household and the subsequent narrative identify her as a kallah—one who has been brought into the family covenant. Her journey is one of moving from a foreign stranger to a cherished kallah, and ultimately to a mother in the line of the Messiah.</w:t>
      </w:r>
    </w:p>
    <w:p w14:paraId="44ACEC85" w14:textId="77777777" w:rsidR="004D6F08" w:rsidRDefault="004D6F08"/>
    <w:p w14:paraId="7BAA3B59" w14:textId="77777777" w:rsidR="004D6F08" w:rsidRPr="004D6F08" w:rsidRDefault="004D6F08">
      <w:pPr>
        <w:rPr>
          <w:b/>
        </w:rPr>
      </w:pPr>
      <w:r w:rsidRPr="004D6F08">
        <w:rPr>
          <w:b/>
        </w:rPr>
        <w:t xml:space="preserve"> 8. References</w:t>
      </w:r>
    </w:p>
    <w:p w14:paraId="28ECFC3D" w14:textId="77777777" w:rsidR="004D6F08" w:rsidRDefault="004D6F08">
      <w:r>
        <w:t>• Brown-Driver-Briggs Hebrew and English Lexicon</w:t>
      </w:r>
    </w:p>
    <w:p w14:paraId="4E91B990" w14:textId="77777777" w:rsidR="004D6F08" w:rsidRDefault="004D6F08">
      <w:r>
        <w:t>• Theological Wordbook of the Old Testament</w:t>
      </w:r>
    </w:p>
    <w:p w14:paraId="74D97994" w14:textId="77777777" w:rsidR="004D6F08" w:rsidRDefault="004D6F08">
      <w:r>
        <w:t>• New International Dictionary of Old Testament Theology and Exegesis</w:t>
      </w:r>
    </w:p>
    <w:p w14:paraId="43CD9511" w14:textId="77777777" w:rsidR="004D6F08" w:rsidRDefault="004D6F08">
      <w:r>
        <w:t>• Hebrew and Aramaic Lexicon of the Old Testament</w:t>
      </w:r>
    </w:p>
    <w:p w14:paraId="6479F58D" w14:textId="77777777" w:rsidR="004D6F08" w:rsidRDefault="004D6F08">
      <w:r>
        <w:t>• Blue Letter Bible Outline of Biblical Usage</w:t>
      </w:r>
    </w:p>
    <w:p w14:paraId="648FDCE5" w14:textId="35CDFF96" w:rsidR="004C5552" w:rsidRDefault="004D6F08">
      <w:r>
        <w:t>• Precept Austin Study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6F08"/>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E8E5"/>
  <w15:chartTrackingRefBased/>
  <w15:docId w15:val="{83B20539-9FBA-42CC-B7C6-D621BE23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08"/>
    <w:rPr>
      <w:rFonts w:eastAsiaTheme="majorEastAsia" w:cstheme="majorBidi"/>
      <w:color w:val="272727" w:themeColor="text1" w:themeTint="D8"/>
    </w:rPr>
  </w:style>
  <w:style w:type="paragraph" w:styleId="Title">
    <w:name w:val="Title"/>
    <w:basedOn w:val="Normal"/>
    <w:next w:val="Normal"/>
    <w:link w:val="TitleChar"/>
    <w:uiPriority w:val="10"/>
    <w:qFormat/>
    <w:rsid w:val="004D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08"/>
    <w:pPr>
      <w:spacing w:before="160"/>
      <w:jc w:val="center"/>
    </w:pPr>
    <w:rPr>
      <w:i/>
      <w:iCs/>
      <w:color w:val="404040" w:themeColor="text1" w:themeTint="BF"/>
    </w:rPr>
  </w:style>
  <w:style w:type="character" w:customStyle="1" w:styleId="QuoteChar">
    <w:name w:val="Quote Char"/>
    <w:basedOn w:val="DefaultParagraphFont"/>
    <w:link w:val="Quote"/>
    <w:uiPriority w:val="29"/>
    <w:rsid w:val="004D6F08"/>
    <w:rPr>
      <w:i/>
      <w:iCs/>
      <w:color w:val="404040" w:themeColor="text1" w:themeTint="BF"/>
    </w:rPr>
  </w:style>
  <w:style w:type="paragraph" w:styleId="ListParagraph">
    <w:name w:val="List Paragraph"/>
    <w:basedOn w:val="Normal"/>
    <w:uiPriority w:val="34"/>
    <w:qFormat/>
    <w:rsid w:val="004D6F08"/>
    <w:pPr>
      <w:ind w:left="720"/>
      <w:contextualSpacing/>
    </w:pPr>
  </w:style>
  <w:style w:type="character" w:styleId="IntenseEmphasis">
    <w:name w:val="Intense Emphasis"/>
    <w:basedOn w:val="DefaultParagraphFont"/>
    <w:uiPriority w:val="21"/>
    <w:qFormat/>
    <w:rsid w:val="004D6F08"/>
    <w:rPr>
      <w:i/>
      <w:iCs/>
      <w:color w:val="2E74B5" w:themeColor="accent1" w:themeShade="BF"/>
    </w:rPr>
  </w:style>
  <w:style w:type="paragraph" w:styleId="IntenseQuote">
    <w:name w:val="Intense Quote"/>
    <w:basedOn w:val="Normal"/>
    <w:next w:val="Normal"/>
    <w:link w:val="IntenseQuoteChar"/>
    <w:uiPriority w:val="30"/>
    <w:qFormat/>
    <w:rsid w:val="004D6F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6F08"/>
    <w:rPr>
      <w:i/>
      <w:iCs/>
      <w:color w:val="2E74B5" w:themeColor="accent1" w:themeShade="BF"/>
    </w:rPr>
  </w:style>
  <w:style w:type="character" w:styleId="IntenseReference">
    <w:name w:val="Intense Reference"/>
    <w:basedOn w:val="DefaultParagraphFont"/>
    <w:uiPriority w:val="32"/>
    <w:qFormat/>
    <w:rsid w:val="004D6F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1017</Words>
  <Characters>5294</Characters>
  <Application>Microsoft Office Word</Application>
  <DocSecurity>0</DocSecurity>
  <Lines>101</Lines>
  <Paragraphs>55</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