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E8FE7" w14:textId="77777777" w:rsidR="0083245E" w:rsidRPr="0083245E" w:rsidRDefault="0083245E">
      <w:pPr>
        <w:rPr>
          <w:b/>
        </w:rPr>
      </w:pPr>
      <w:r w:rsidRPr="0083245E">
        <w:rPr>
          <w:b/>
        </w:rPr>
        <w:t>DAUGHTER-IN-LAW - ( kallah , Strong's H3618 )</w:t>
      </w:r>
    </w:p>
    <w:p w14:paraId="28EAFE5A" w14:textId="77777777" w:rsidR="0083245E" w:rsidRDefault="0083245E">
      <w:r w:rsidRPr="0083245E">
        <w:rPr>
          <w:b/>
        </w:rPr>
        <w:t>Summary:</w:t>
      </w:r>
    </w:p>
    <w:p w14:paraId="081A0CB3" w14:textId="77777777" w:rsidR="0083245E" w:rsidRDefault="0083245E">
      <w:r>
        <w:t>The Hebrew word kallah refers to a young woman who is newly married, a bride, or specifically a daughter-in-law in relation to her husband's parents. In the story of Ruth, this term highlights the profound relational bond of covenant loyalty (chesed) between Ruth and Naomi, transforming a legal connection into a deep, life-giving family relationship under the wings of the Lord God of Israel.</w:t>
      </w:r>
    </w:p>
    <w:p w14:paraId="643EA30C" w14:textId="77777777" w:rsidR="0083245E" w:rsidRDefault="0083245E"/>
    <w:p w14:paraId="2F69DE5A" w14:textId="77777777" w:rsidR="0083245E" w:rsidRDefault="0083245E">
      <w:r w:rsidRPr="0083245E">
        <w:rPr>
          <w:b/>
        </w:rPr>
        <w:t>Full Study:</w:t>
      </w:r>
    </w:p>
    <w:p w14:paraId="5FC6F919" w14:textId="77777777" w:rsidR="0083245E" w:rsidRDefault="0083245E"/>
    <w:p w14:paraId="48A79375" w14:textId="77777777" w:rsidR="0083245E" w:rsidRPr="0083245E" w:rsidRDefault="0083245E">
      <w:pPr>
        <w:rPr>
          <w:b/>
        </w:rPr>
      </w:pPr>
      <w:r w:rsidRPr="0083245E">
        <w:rPr>
          <w:b/>
        </w:rPr>
        <w:t>1. Word Picture / Background</w:t>
      </w:r>
    </w:p>
    <w:p w14:paraId="7498BD50" w14:textId="77777777" w:rsidR="0083245E" w:rsidRDefault="0083245E">
      <w:r>
        <w:t>In ancient Israel, a kallah was brought into her husband's patriarchal household (the bet ab). Her identity, protection, and legal status became tied to this new family. The term derives from a root verb (kalal) that means to complete, crown, or make perfect, painting a beautiful picture of a bride who brings completion to a household. In a patriarchal society, a daughter-in-law who lost both her husband and her father-in-law was left in an incredibly vulnerable position. She had no legal standing or financial security of her own. Her survival depended entirely on the mercy of others or her return to her father's house.</w:t>
      </w:r>
    </w:p>
    <w:p w14:paraId="7857113E" w14:textId="77777777" w:rsidR="0083245E" w:rsidRDefault="0083245E"/>
    <w:p w14:paraId="31722B90" w14:textId="77777777" w:rsidR="0083245E" w:rsidRPr="0083245E" w:rsidRDefault="0083245E">
      <w:pPr>
        <w:rPr>
          <w:b/>
        </w:rPr>
      </w:pPr>
      <w:r w:rsidRPr="0083245E">
        <w:rPr>
          <w:b/>
        </w:rPr>
        <w:t>2. Meaning / Lexical Definition</w:t>
      </w:r>
    </w:p>
    <w:p w14:paraId="0C99167D" w14:textId="77777777" w:rsidR="0083245E" w:rsidRDefault="0083245E">
      <w:r>
        <w:t>The noun kallah has two primary semantic nuances depending on the context: "bride" (in relation to her husband) and "daughter-in-law" (in relation to her husband's parents). In the context of the book of Ruth, it consistently represents the legal, historical, and familial status of Ruth and Orpah in relation to Naomi. The word denotes a relationship formed by marriage that carries ongoing covenantal expectations, even after the death of the husband who originally established the connection.</w:t>
      </w:r>
    </w:p>
    <w:p w14:paraId="75551B80" w14:textId="77777777" w:rsidR="0083245E" w:rsidRDefault="0083245E"/>
    <w:p w14:paraId="57848784" w14:textId="77777777" w:rsidR="0083245E" w:rsidRPr="0083245E" w:rsidRDefault="0083245E">
      <w:pPr>
        <w:rPr>
          <w:b/>
        </w:rPr>
      </w:pPr>
      <w:r w:rsidRPr="0083245E">
        <w:rPr>
          <w:b/>
        </w:rPr>
        <w:t>3. Usage and Word Pictures</w:t>
      </w:r>
    </w:p>
    <w:p w14:paraId="18E933C9" w14:textId="77777777" w:rsidR="0083245E" w:rsidRDefault="0083245E">
      <w:r>
        <w:t>The term kallah appears 34 times in the Old Testament. Its usage falls into two distinct categories:</w:t>
      </w:r>
    </w:p>
    <w:p w14:paraId="319ADDCF" w14:textId="77777777" w:rsidR="0083245E" w:rsidRDefault="0083245E">
      <w:r>
        <w:t>• Literal Bride or Spouse: It is used in poetic and prophetic literature to depict a bride adorned for her wedding day (Isaiah 61:10) or to describe the passionate, exclusive love between a husband and wife (Song of Solomon 4:8).</w:t>
      </w:r>
    </w:p>
    <w:p w14:paraId="2C1D8FAF" w14:textId="77777777" w:rsidR="0083245E" w:rsidRDefault="0083245E">
      <w:r>
        <w:t>• Daughter-in-Law: It is used in historical and legal texts to designate the familial position of a son's wife within the extended family unit (Genesis 38:11; Leviticus 18:15).</w:t>
      </w:r>
    </w:p>
    <w:p w14:paraId="453C07E3" w14:textId="77777777" w:rsidR="0083245E" w:rsidRDefault="0083245E">
      <w:r>
        <w:t>• Figurative Use: The prophets use the term to describe Israel as the bride of Yahweh, emphasizing the intimacy, purity, and covenant commitment that God desired from His people (Jeremiah 2:2).</w:t>
      </w:r>
    </w:p>
    <w:p w14:paraId="54883C37" w14:textId="77777777" w:rsidR="0083245E" w:rsidRDefault="0083245E"/>
    <w:p w14:paraId="4DFDD8DF" w14:textId="77777777" w:rsidR="0083245E" w:rsidRPr="0083245E" w:rsidRDefault="0083245E">
      <w:pPr>
        <w:rPr>
          <w:b/>
        </w:rPr>
      </w:pPr>
      <w:r w:rsidRPr="0083245E">
        <w:rPr>
          <w:b/>
        </w:rPr>
        <w:t>4. Theological Implications</w:t>
      </w:r>
    </w:p>
    <w:p w14:paraId="69569788" w14:textId="77777777" w:rsidR="0083245E" w:rsidRDefault="0083245E">
      <w:r>
        <w:t xml:space="preserve">The relationship between Naomi and her kallah Ruth serves as a human mirror of divine covenant love (chesed). In the ancient Near East, the bond between a mother-in-law and a daughter-in-law was frequently fragile. By elevating Ruth's status as a faithful kallah, the text demonstrates that covenant faithfulness transcends biological and ethnic boundaries. </w:t>
      </w:r>
    </w:p>
    <w:p w14:paraId="370D80D3" w14:textId="77777777" w:rsidR="0083245E" w:rsidRDefault="0083245E">
      <w:r>
        <w:t>Furthermore, the vulnerability of the kallah in Israelite law triggers the redemptive provisions of God's covenant, such as the levirate marriage and the kinsman-redeemer (goel). The story of Ruth shows that God does not abandon the widow or the foreigner; instead, He uses these legal family structures to bring about redemption, ultimately placing this Moabite kallah into the direct lineage of Jesus Christ.</w:t>
      </w:r>
    </w:p>
    <w:p w14:paraId="412BB9BF" w14:textId="77777777" w:rsidR="0083245E" w:rsidRDefault="0083245E"/>
    <w:p w14:paraId="17D55D79" w14:textId="77777777" w:rsidR="0083245E" w:rsidRPr="0083245E" w:rsidRDefault="0083245E">
      <w:pPr>
        <w:rPr>
          <w:b/>
        </w:rPr>
      </w:pPr>
      <w:r w:rsidRPr="0083245E">
        <w:rPr>
          <w:b/>
        </w:rPr>
        <w:t>5. Contextual Nuance in the Passage</w:t>
      </w:r>
    </w:p>
    <w:p w14:paraId="0429000C" w14:textId="77777777" w:rsidR="0083245E" w:rsidRDefault="0083245E">
      <w:r>
        <w:t>In Ruth 2:20, Naomi uses the word kallah to refer to Ruth immediately after learning that Ruth had been gleaning in the field of Boaz. Naomi exclaims, "Blessed be he of the Lord, who has not forsaken His kindness to the living and the dead!" Naomi's use of kallah in this moment is highly significant. It signals that despite the death of Mahlon, Naomi still fully claims and embraces Ruth as her legal family. Ruth is not merely a foreign companion or a servant; she is Naomi's kallah. This designation keeps Ruth legally and relationally tied to the inheritance of Elimelech, opening the door for Boaz to step in as the redeemer of both the land and the family line.</w:t>
      </w:r>
    </w:p>
    <w:p w14:paraId="20B55852" w14:textId="77777777" w:rsidR="0083245E" w:rsidRDefault="0083245E"/>
    <w:p w14:paraId="62AE10E1" w14:textId="77777777" w:rsidR="0083245E" w:rsidRPr="0083245E" w:rsidRDefault="0083245E">
      <w:pPr>
        <w:rPr>
          <w:b/>
        </w:rPr>
      </w:pPr>
      <w:r w:rsidRPr="0083245E">
        <w:rPr>
          <w:b/>
        </w:rPr>
        <w:t>6. Key Uses in Other Verses (NKJV)</w:t>
      </w:r>
    </w:p>
    <w:p w14:paraId="54A8F2EC" w14:textId="77777777" w:rsidR="0083245E" w:rsidRDefault="0083245E">
      <w:r>
        <w:t>• Genesis 38:11 - "Then Judah said to Tamar his daughter-in-law, 'Remain a widow in your father’s house until my son Shelah grows up.'"</w:t>
      </w:r>
    </w:p>
    <w:p w14:paraId="48FE920C" w14:textId="77777777" w:rsidR="0083245E" w:rsidRDefault="0083245E">
      <w:r>
        <w:t>• Ruth 1:22 - "So Naomi returned, and Ruth the Moabitess her daughter-in-law with her, who returned from the country of Moab."</w:t>
      </w:r>
    </w:p>
    <w:p w14:paraId="4E0E2B2B" w14:textId="77777777" w:rsidR="0083245E" w:rsidRDefault="0083245E">
      <w:r>
        <w:t>• 1 Samuel 4:19 - "Now his daughter-in-law, Phinehas’s wife, was with child, due to be delivered..."</w:t>
      </w:r>
    </w:p>
    <w:p w14:paraId="703D8174" w14:textId="77777777" w:rsidR="0083245E" w:rsidRDefault="0083245E">
      <w:r>
        <w:t>• Micah 7:6 - "For son dishonors father, daughter rises against her mother, daughter-in-law against her mother-in-law; a man’s enemies are the men of his own household."</w:t>
      </w:r>
    </w:p>
    <w:p w14:paraId="3BAA8D95" w14:textId="77777777" w:rsidR="0083245E" w:rsidRDefault="0083245E"/>
    <w:p w14:paraId="2652B924" w14:textId="77777777" w:rsidR="0083245E" w:rsidRPr="0083245E" w:rsidRDefault="0083245E">
      <w:pPr>
        <w:rPr>
          <w:b/>
        </w:rPr>
      </w:pPr>
      <w:r w:rsidRPr="0083245E">
        <w:rPr>
          <w:b/>
        </w:rPr>
        <w:t>7. Other Relevant Insights</w:t>
      </w:r>
    </w:p>
    <w:p w14:paraId="52EB1A5C" w14:textId="77777777" w:rsidR="0083245E" w:rsidRDefault="0083245E">
      <w:r>
        <w:t>A powerful contrast is set up in the opening chapter of Ruth between Naomi’s two daughters-in-law. Both Orpah and Ruth began as Naomi's kallah (Ruth 1:6-8). However, when tested by famine, poverty, and widowhood, Orpah chose to return to her mother's house and her foreign gods, while Ruth redefined what it meant to be a kallah. Ruth bound herself not just to a dead husband's memory, but to Naomi and to the living God of Israel. Her loyalty transformed her legal title of kallah from a sterile legal category into a term of deep, redemptive intimacy.</w:t>
      </w:r>
    </w:p>
    <w:p w14:paraId="7BBC71A1" w14:textId="77777777" w:rsidR="0083245E" w:rsidRDefault="0083245E"/>
    <w:p w14:paraId="0D198FD5" w14:textId="77777777" w:rsidR="0083245E" w:rsidRPr="0083245E" w:rsidRDefault="0083245E">
      <w:pPr>
        <w:rPr>
          <w:b/>
        </w:rPr>
      </w:pPr>
      <w:r w:rsidRPr="0083245E">
        <w:rPr>
          <w:b/>
        </w:rPr>
        <w:t>8. References</w:t>
      </w:r>
    </w:p>
    <w:p w14:paraId="589FE995" w14:textId="77777777" w:rsidR="0083245E" w:rsidRDefault="0083245E">
      <w:r>
        <w:t>• Brown, Driver, Briggs. Hebrew and English Lexicon of the Old Testament.</w:t>
      </w:r>
    </w:p>
    <w:p w14:paraId="2D6DAC6B" w14:textId="77777777" w:rsidR="0083245E" w:rsidRDefault="0083245E">
      <w:r>
        <w:t>• Koehler, Baumgartner, Stamm. Hebrew and Aramaic Lexicon of the Old Testament.</w:t>
      </w:r>
    </w:p>
    <w:p w14:paraId="34E88230" w14:textId="77777777" w:rsidR="0083245E" w:rsidRDefault="0083245E">
      <w:r>
        <w:t>• Harris, Archer, Waltke. Theological Wordbook of the Old Testament.</w:t>
      </w:r>
    </w:p>
    <w:p w14:paraId="435C40BD" w14:textId="77777777" w:rsidR="0083245E" w:rsidRDefault="0083245E">
      <w:r>
        <w:t>• VanGemeren. New International Dictionary of Old Testament Theology and Exegesis.</w:t>
      </w:r>
    </w:p>
    <w:p w14:paraId="53B8A2C4" w14:textId="77777777" w:rsidR="0083245E" w:rsidRDefault="0083245E">
      <w:r>
        <w:t>• Blue Letter Bible.</w:t>
      </w:r>
    </w:p>
    <w:p w14:paraId="57E2DA0F" w14:textId="6D4924F3" w:rsidR="004C5552" w:rsidRDefault="0083245E">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4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245E"/>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33E67"/>
  <w15:chartTrackingRefBased/>
  <w15:docId w15:val="{D442C2A5-E66C-4321-9570-993D20CD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24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4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4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2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45E"/>
    <w:rPr>
      <w:rFonts w:eastAsiaTheme="majorEastAsia" w:cstheme="majorBidi"/>
      <w:color w:val="272727" w:themeColor="text1" w:themeTint="D8"/>
    </w:rPr>
  </w:style>
  <w:style w:type="paragraph" w:styleId="Title">
    <w:name w:val="Title"/>
    <w:basedOn w:val="Normal"/>
    <w:next w:val="Normal"/>
    <w:link w:val="TitleChar"/>
    <w:uiPriority w:val="10"/>
    <w:qFormat/>
    <w:rsid w:val="00832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45E"/>
    <w:pPr>
      <w:spacing w:before="160"/>
      <w:jc w:val="center"/>
    </w:pPr>
    <w:rPr>
      <w:i/>
      <w:iCs/>
      <w:color w:val="404040" w:themeColor="text1" w:themeTint="BF"/>
    </w:rPr>
  </w:style>
  <w:style w:type="character" w:customStyle="1" w:styleId="QuoteChar">
    <w:name w:val="Quote Char"/>
    <w:basedOn w:val="DefaultParagraphFont"/>
    <w:link w:val="Quote"/>
    <w:uiPriority w:val="29"/>
    <w:rsid w:val="0083245E"/>
    <w:rPr>
      <w:i/>
      <w:iCs/>
      <w:color w:val="404040" w:themeColor="text1" w:themeTint="BF"/>
    </w:rPr>
  </w:style>
  <w:style w:type="paragraph" w:styleId="ListParagraph">
    <w:name w:val="List Paragraph"/>
    <w:basedOn w:val="Normal"/>
    <w:uiPriority w:val="34"/>
    <w:qFormat/>
    <w:rsid w:val="0083245E"/>
    <w:pPr>
      <w:ind w:left="720"/>
      <w:contextualSpacing/>
    </w:pPr>
  </w:style>
  <w:style w:type="character" w:styleId="IntenseEmphasis">
    <w:name w:val="Intense Emphasis"/>
    <w:basedOn w:val="DefaultParagraphFont"/>
    <w:uiPriority w:val="21"/>
    <w:qFormat/>
    <w:rsid w:val="0083245E"/>
    <w:rPr>
      <w:i/>
      <w:iCs/>
      <w:color w:val="2E74B5" w:themeColor="accent1" w:themeShade="BF"/>
    </w:rPr>
  </w:style>
  <w:style w:type="paragraph" w:styleId="IntenseQuote">
    <w:name w:val="Intense Quote"/>
    <w:basedOn w:val="Normal"/>
    <w:next w:val="Normal"/>
    <w:link w:val="IntenseQuoteChar"/>
    <w:uiPriority w:val="30"/>
    <w:qFormat/>
    <w:rsid w:val="008324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245E"/>
    <w:rPr>
      <w:i/>
      <w:iCs/>
      <w:color w:val="2E74B5" w:themeColor="accent1" w:themeShade="BF"/>
    </w:rPr>
  </w:style>
  <w:style w:type="character" w:styleId="IntenseReference">
    <w:name w:val="Intense Reference"/>
    <w:basedOn w:val="DefaultParagraphFont"/>
    <w:uiPriority w:val="32"/>
    <w:qFormat/>
    <w:rsid w:val="008324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4527</Characters>
  <Application>Microsoft Office Word</Application>
  <DocSecurity>0</DocSecurity>
  <Lines>87</Lines>
  <Paragraphs>47</Paragraphs>
  <ScaleCrop>false</ScaleCrop>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