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5D58" w14:textId="77777777" w:rsidR="00C31500" w:rsidRPr="00C31500" w:rsidRDefault="00C31500">
      <w:pPr>
        <w:rPr>
          <w:b/>
        </w:rPr>
      </w:pPr>
      <w:r w:rsidRPr="00C31500">
        <w:rPr>
          <w:b/>
        </w:rPr>
        <w:t>EMPTY-HANDED - ( reqam , Strong's H7387 )</w:t>
      </w:r>
    </w:p>
    <w:p w14:paraId="3F9AA5B7" w14:textId="77777777" w:rsidR="00C31500" w:rsidRDefault="00C31500">
      <w:r w:rsidRPr="00C31500">
        <w:rPr>
          <w:b/>
        </w:rPr>
        <w:t>Summary:</w:t>
      </w:r>
    </w:p>
    <w:p w14:paraId="36A7AD29" w14:textId="77777777" w:rsidR="00C31500" w:rsidRDefault="00C31500">
      <w:r>
        <w:t>The Hebrew word reqam conveys the idea of being empty, hollow, or lacking content. In a physical sense, it refers to returning from a journey or task without goods, possessions, or cargo. Metaphorically, it speaks of frustration, unmet expectations, or a lack of spiritual or emotional fruit. In the context of the Book of Ruth, it acts as a crucial thematic pivot. Naomi left Bethlehem full but returned "empty" (reqam in Ruth 1:21). In Ruth 3:17, Boaz's insistence that Ruth not return to Naomi "empty-handed" (reqam) signals the reversal of Naomi's bitter emptiness, demonstrating God's covenant faithfulness and provision through a kinsman-redeemer.</w:t>
      </w:r>
    </w:p>
    <w:p w14:paraId="0A317853" w14:textId="77777777" w:rsidR="00C31500" w:rsidRDefault="00C31500"/>
    <w:p w14:paraId="3F7FE349" w14:textId="77777777" w:rsidR="00C31500" w:rsidRDefault="00C31500">
      <w:r w:rsidRPr="00C31500">
        <w:rPr>
          <w:b/>
        </w:rPr>
        <w:t>Full Study:</w:t>
      </w:r>
    </w:p>
    <w:p w14:paraId="1EBB0C96" w14:textId="77777777" w:rsidR="00C31500" w:rsidRDefault="00C31500"/>
    <w:p w14:paraId="5ED54471" w14:textId="77777777" w:rsidR="00C31500" w:rsidRPr="00C31500" w:rsidRDefault="00C31500">
      <w:pPr>
        <w:rPr>
          <w:b/>
        </w:rPr>
      </w:pPr>
      <w:r w:rsidRPr="00C31500">
        <w:rPr>
          <w:b/>
        </w:rPr>
        <w:t>1. Word Picture / Background</w:t>
      </w:r>
    </w:p>
    <w:p w14:paraId="0E1DF7FB" w14:textId="77777777" w:rsidR="00C31500" w:rsidRDefault="00C31500">
      <w:r>
        <w:t>• The adverb reqam is derived from the root verb riq, which means to empty out, pour out, or draw out (such as drawing a sword or emptying a vessel).</w:t>
      </w:r>
    </w:p>
    <w:p w14:paraId="2B2DF4E9" w14:textId="77777777" w:rsidR="00C31500" w:rsidRDefault="00C31500">
      <w:r>
        <w:t>• The word picture of reqam is that of open, unoccupied hands or an empty vessel that was expected to be full. It carries the emotional weight of disappointment, shame, or vulnerability.</w:t>
      </w:r>
    </w:p>
    <w:p w14:paraId="6753D7CA" w14:textId="77777777" w:rsidR="00C31500" w:rsidRDefault="00C31500">
      <w:r>
        <w:t>• In the ancient Near East, returning from a benefactor or a harvest with empty hands indicated a lack of favor, rejection, or economic failure. Conversely, leaving a place with full hands indicated blessing, acceptance, and security.</w:t>
      </w:r>
    </w:p>
    <w:p w14:paraId="52B70E0C" w14:textId="77777777" w:rsidR="00C31500" w:rsidRDefault="00C31500"/>
    <w:p w14:paraId="25DE3968" w14:textId="77777777" w:rsidR="00C31500" w:rsidRPr="00C31500" w:rsidRDefault="00C31500">
      <w:pPr>
        <w:rPr>
          <w:b/>
        </w:rPr>
      </w:pPr>
      <w:r w:rsidRPr="00C31500">
        <w:rPr>
          <w:b/>
        </w:rPr>
        <w:t>2. Meaning / Lexical Definition</w:t>
      </w:r>
    </w:p>
    <w:p w14:paraId="7DB10E62" w14:textId="77777777" w:rsidR="00C31500" w:rsidRDefault="00C31500">
      <w:r>
        <w:t>• reqam is an adverb meaning emptily, empty-handed, in vain, or without effect.</w:t>
      </w:r>
    </w:p>
    <w:p w14:paraId="2BA5C39A" w14:textId="77777777" w:rsidR="00C31500" w:rsidRDefault="00C31500">
      <w:r>
        <w:t>• It denotes a state of having nothing of value in one's possession when abundance or at least sufficiency was expected.</w:t>
      </w:r>
    </w:p>
    <w:p w14:paraId="6CE282F4" w14:textId="77777777" w:rsidR="00C31500" w:rsidRDefault="00C31500">
      <w:r>
        <w:t>• It also carries a causative nuance of sending someone away with nothing, showing a lack of favor, or actively withholding what is due.</w:t>
      </w:r>
    </w:p>
    <w:p w14:paraId="0858CC28" w14:textId="77777777" w:rsidR="00C31500" w:rsidRDefault="00C31500"/>
    <w:p w14:paraId="094A00E0" w14:textId="77777777" w:rsidR="00C31500" w:rsidRPr="00C31500" w:rsidRDefault="00C31500">
      <w:pPr>
        <w:rPr>
          <w:b/>
        </w:rPr>
      </w:pPr>
      <w:r w:rsidRPr="00C31500">
        <w:rPr>
          <w:b/>
        </w:rPr>
        <w:t>3. Usage and Word Pictures</w:t>
      </w:r>
    </w:p>
    <w:p w14:paraId="325A5520" w14:textId="77777777" w:rsidR="00C31500" w:rsidRDefault="00C31500">
      <w:r>
        <w:t>• Legal and Ritual Contexts: The term is used in commands regarding assemblies and feasts where God instructs His people not to appear before Him empty-handed. This is not because God requires human wealth, but because to come before Him empty-handed is to fail to acknowledge His abundant provision.</w:t>
      </w:r>
    </w:p>
    <w:p w14:paraId="0BEB012A" w14:textId="77777777" w:rsidR="00C31500" w:rsidRDefault="00C31500">
      <w:r>
        <w:t>• Military Contexts: It describes weapons or efforts that return without achieving their purpose, translating to "in vain" or "without effect."</w:t>
      </w:r>
    </w:p>
    <w:p w14:paraId="070DEFBE" w14:textId="77777777" w:rsidR="00C31500" w:rsidRDefault="00C31500">
      <w:r>
        <w:t>• Relational and Economic Contexts: It describes the release of a servant or slave. To send a departing servant away empty-handed was a violation of covenant charity and justice; they were to be furnished liberally from the flock, threshing floor, and winepress.</w:t>
      </w:r>
    </w:p>
    <w:p w14:paraId="3A98FC51" w14:textId="77777777" w:rsidR="00C31500" w:rsidRDefault="00C31500"/>
    <w:p w14:paraId="2294D3D9" w14:textId="77777777" w:rsidR="00C31500" w:rsidRPr="00C31500" w:rsidRDefault="00C31500">
      <w:pPr>
        <w:rPr>
          <w:b/>
        </w:rPr>
      </w:pPr>
      <w:r w:rsidRPr="00C31500">
        <w:rPr>
          <w:b/>
        </w:rPr>
        <w:t>4. Theological Implications</w:t>
      </w:r>
    </w:p>
    <w:p w14:paraId="28E0588C" w14:textId="77777777" w:rsidR="00C31500" w:rsidRDefault="00C31500">
      <w:r>
        <w:t>• The word highlights the contrast between human emptiness and divine fullness.</w:t>
      </w:r>
    </w:p>
    <w:p w14:paraId="00ED0737" w14:textId="77777777" w:rsidR="00C31500" w:rsidRDefault="00C31500">
      <w:r>
        <w:t>• It underscores the character of God as the One who fills the empty. When God acts in redemption, He reverses the reqam status of His people, turning their barrenness and poverty into abundance.</w:t>
      </w:r>
    </w:p>
    <w:p w14:paraId="3F37622B" w14:textId="77777777" w:rsidR="00C31500" w:rsidRDefault="00C31500">
      <w:r>
        <w:t>• It reveals that true security is not found in human self-sufficiency, which inevitably ends in emptiness, but in the faithful provision of the Covenant Lord.</w:t>
      </w:r>
    </w:p>
    <w:p w14:paraId="7143FB1B" w14:textId="77777777" w:rsidR="00C31500" w:rsidRDefault="00C31500"/>
    <w:p w14:paraId="5B59B7F9" w14:textId="77777777" w:rsidR="00C31500" w:rsidRPr="00C31500" w:rsidRDefault="00C31500">
      <w:pPr>
        <w:rPr>
          <w:b/>
        </w:rPr>
      </w:pPr>
      <w:r w:rsidRPr="00C31500">
        <w:rPr>
          <w:b/>
        </w:rPr>
        <w:t>5. Contextual Nuance in the Passage</w:t>
      </w:r>
    </w:p>
    <w:p w14:paraId="7069158A" w14:textId="77777777" w:rsidR="00C31500" w:rsidRDefault="00C31500">
      <w:r>
        <w:t>• In Ruth 3:17, Ruth reports Boaz’s words: "These six measures of barley he gave me; for he said to me, 'Do not go empty-handed to your mother-in-law.'"</w:t>
      </w:r>
    </w:p>
    <w:p w14:paraId="76A57993" w14:textId="77777777" w:rsidR="00C31500" w:rsidRDefault="00C31500">
      <w:r>
        <w:t>• This directly mirrors and heals Naomi's lament in Ruth 1:21: "I went out full, and the Lord has brought me home again empty (reqam)."</w:t>
      </w:r>
    </w:p>
    <w:p w14:paraId="3D32AF7F" w14:textId="77777777" w:rsidR="00C31500" w:rsidRDefault="00C31500">
      <w:r>
        <w:t>• Boaz's gift of six measures of barley is not just a polite gesture; it is a theological statement and a legal pledge. By ensuring Ruth does not return reqam, Boaz is actively committing to fill the void in Naomi's life. He is declaring that the days of Naomi's emptiness are over. The empty-handed daughter-in-law returns bearing the physical token of redemption, signifying that God has visited His people to give them bread.</w:t>
      </w:r>
    </w:p>
    <w:p w14:paraId="3A50CAD0" w14:textId="77777777" w:rsidR="00C31500" w:rsidRDefault="00C31500"/>
    <w:p w14:paraId="250FE71F" w14:textId="77777777" w:rsidR="00C31500" w:rsidRPr="00C31500" w:rsidRDefault="00C31500">
      <w:pPr>
        <w:rPr>
          <w:b/>
        </w:rPr>
      </w:pPr>
      <w:r w:rsidRPr="00C31500">
        <w:rPr>
          <w:b/>
        </w:rPr>
        <w:t>6. Key Uses in Other Verses (NKJV)</w:t>
      </w:r>
    </w:p>
    <w:p w14:paraId="41A456BE" w14:textId="77777777" w:rsidR="00C31500" w:rsidRDefault="00C31500">
      <w:r>
        <w:t>• Genesis 31:42: "Unless the God of my father, the God of Abraham and the Fear of Isaac, had been with me, surely now you would have sent me away empty-handed."</w:t>
      </w:r>
    </w:p>
    <w:p w14:paraId="23525AEA" w14:textId="77777777" w:rsidR="00C31500" w:rsidRDefault="00C31500">
      <w:r>
        <w:t>• Exodus 23:15: "You shall keep the Feast of Unleavened Bread... and none shall appear before Me empty;"</w:t>
      </w:r>
    </w:p>
    <w:p w14:paraId="4543EFD3" w14:textId="77777777" w:rsidR="00C31500" w:rsidRDefault="00C31500">
      <w:r>
        <w:t>• Ruth 1:21: "I went out full, and the Lord has brought me home again empty."</w:t>
      </w:r>
    </w:p>
    <w:p w14:paraId="682F03D9" w14:textId="77777777" w:rsidR="00C31500" w:rsidRDefault="00C31500">
      <w:r>
        <w:t>• 1 Samuel 6:3: "So they said, 'If you send away the ark of the God of Israel, do not send it empty;'"</w:t>
      </w:r>
    </w:p>
    <w:p w14:paraId="7B3C5986" w14:textId="77777777" w:rsidR="00C31500" w:rsidRDefault="00C31500">
      <w:r>
        <w:t>• Job 22:9: "You have sent widows away empty, and the strength of the fatherless was crushed."</w:t>
      </w:r>
    </w:p>
    <w:p w14:paraId="1710CB8A" w14:textId="77777777" w:rsidR="00C31500" w:rsidRDefault="00C31500"/>
    <w:p w14:paraId="6439D581" w14:textId="77777777" w:rsidR="00C31500" w:rsidRPr="00C31500" w:rsidRDefault="00C31500">
      <w:pPr>
        <w:rPr>
          <w:b/>
        </w:rPr>
      </w:pPr>
      <w:r w:rsidRPr="00C31500">
        <w:rPr>
          <w:b/>
        </w:rPr>
        <w:t>7. Other Relevant Insights</w:t>
      </w:r>
    </w:p>
    <w:p w14:paraId="345CB73C" w14:textId="77777777" w:rsidR="00C31500" w:rsidRDefault="00C31500">
      <w:r>
        <w:t>• The six measures of barley represent an immense load for a woman to carry—likely between 60 to 80 pounds. This heavy physical load was a visible, undeniable sign to Naomi that Boaz was a man of action and covenant responsibility. Emptiness was not just met with "enough"; it was met with overflowing abundance.</w:t>
      </w:r>
    </w:p>
    <w:p w14:paraId="645CD39A" w14:textId="77777777" w:rsidR="00C31500" w:rsidRDefault="00C31500">
      <w:r>
        <w:t>• In the broader biblical narrative, this pattern of moving from emptiness (reqam) to fullness foreshadows the gospel. Apart from Christ, humanity is empty-handed and spiritually bankrupt. Through our Kinsman-Redeemer, Jesus Christ, we are filled with the riches of His grace, and we no longer have to live or stand before God reqam.</w:t>
      </w:r>
    </w:p>
    <w:p w14:paraId="11812CFE" w14:textId="77777777" w:rsidR="00C31500" w:rsidRDefault="00C31500"/>
    <w:p w14:paraId="758259C6" w14:textId="77777777" w:rsidR="00C31500" w:rsidRPr="00C31500" w:rsidRDefault="00C31500">
      <w:pPr>
        <w:rPr>
          <w:b/>
        </w:rPr>
      </w:pPr>
      <w:r w:rsidRPr="00C31500">
        <w:rPr>
          <w:b/>
        </w:rPr>
        <w:t>8. References</w:t>
      </w:r>
    </w:p>
    <w:p w14:paraId="31FF8B84" w14:textId="77777777" w:rsidR="00C31500" w:rsidRDefault="00C31500">
      <w:r>
        <w:t>• Brown-Driver-Briggs Hebrew and English Lexicon</w:t>
      </w:r>
    </w:p>
    <w:p w14:paraId="6B859C11" w14:textId="77777777" w:rsidR="00C31500" w:rsidRDefault="00C31500">
      <w:r>
        <w:t>• Hebrew and Aramaic Lexicon of the Old Testament</w:t>
      </w:r>
    </w:p>
    <w:p w14:paraId="2F6F3783" w14:textId="77777777" w:rsidR="00C31500" w:rsidRDefault="00C31500">
      <w:r>
        <w:t>• Theological Wordbook of the Old Testament</w:t>
      </w:r>
    </w:p>
    <w:p w14:paraId="19DAB15B" w14:textId="77777777" w:rsidR="00C31500" w:rsidRDefault="00C31500">
      <w:r>
        <w:t>• New International Dictionary of Old Testament Theology and Exegesis</w:t>
      </w:r>
    </w:p>
    <w:p w14:paraId="3095C561" w14:textId="77777777" w:rsidR="00C31500" w:rsidRDefault="00C31500">
      <w:r>
        <w:t>• Vine's Expository Dictionary of Biblical Words</w:t>
      </w:r>
    </w:p>
    <w:p w14:paraId="4341088E" w14:textId="7CC1D61A" w:rsidR="004C5552" w:rsidRDefault="00C31500">
      <w:r>
        <w:t>• Blue Letter Bible / Strong's Concordance H7387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0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1500"/>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4B4B"/>
  <w15:chartTrackingRefBased/>
  <w15:docId w15:val="{8720E367-8773-48A0-82AE-477869C0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1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1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500"/>
    <w:rPr>
      <w:rFonts w:eastAsiaTheme="majorEastAsia" w:cstheme="majorBidi"/>
      <w:color w:val="272727" w:themeColor="text1" w:themeTint="D8"/>
    </w:rPr>
  </w:style>
  <w:style w:type="paragraph" w:styleId="Title">
    <w:name w:val="Title"/>
    <w:basedOn w:val="Normal"/>
    <w:next w:val="Normal"/>
    <w:link w:val="TitleChar"/>
    <w:uiPriority w:val="10"/>
    <w:qFormat/>
    <w:rsid w:val="00C31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500"/>
    <w:pPr>
      <w:spacing w:before="160"/>
      <w:jc w:val="center"/>
    </w:pPr>
    <w:rPr>
      <w:i/>
      <w:iCs/>
      <w:color w:val="404040" w:themeColor="text1" w:themeTint="BF"/>
    </w:rPr>
  </w:style>
  <w:style w:type="character" w:customStyle="1" w:styleId="QuoteChar">
    <w:name w:val="Quote Char"/>
    <w:basedOn w:val="DefaultParagraphFont"/>
    <w:link w:val="Quote"/>
    <w:uiPriority w:val="29"/>
    <w:rsid w:val="00C31500"/>
    <w:rPr>
      <w:i/>
      <w:iCs/>
      <w:color w:val="404040" w:themeColor="text1" w:themeTint="BF"/>
    </w:rPr>
  </w:style>
  <w:style w:type="paragraph" w:styleId="ListParagraph">
    <w:name w:val="List Paragraph"/>
    <w:basedOn w:val="Normal"/>
    <w:uiPriority w:val="34"/>
    <w:qFormat/>
    <w:rsid w:val="00C31500"/>
    <w:pPr>
      <w:ind w:left="720"/>
      <w:contextualSpacing/>
    </w:pPr>
  </w:style>
  <w:style w:type="character" w:styleId="IntenseEmphasis">
    <w:name w:val="Intense Emphasis"/>
    <w:basedOn w:val="DefaultParagraphFont"/>
    <w:uiPriority w:val="21"/>
    <w:qFormat/>
    <w:rsid w:val="00C31500"/>
    <w:rPr>
      <w:i/>
      <w:iCs/>
      <w:color w:val="2E74B5" w:themeColor="accent1" w:themeShade="BF"/>
    </w:rPr>
  </w:style>
  <w:style w:type="paragraph" w:styleId="IntenseQuote">
    <w:name w:val="Intense Quote"/>
    <w:basedOn w:val="Normal"/>
    <w:next w:val="Normal"/>
    <w:link w:val="IntenseQuoteChar"/>
    <w:uiPriority w:val="30"/>
    <w:qFormat/>
    <w:rsid w:val="00C315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1500"/>
    <w:rPr>
      <w:i/>
      <w:iCs/>
      <w:color w:val="2E74B5" w:themeColor="accent1" w:themeShade="BF"/>
    </w:rPr>
  </w:style>
  <w:style w:type="character" w:styleId="IntenseReference">
    <w:name w:val="Intense Reference"/>
    <w:basedOn w:val="DefaultParagraphFont"/>
    <w:uiPriority w:val="32"/>
    <w:qFormat/>
    <w:rsid w:val="00C3150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4384</Characters>
  <Application>Microsoft Office Word</Application>
  <DocSecurity>0</DocSecurity>
  <Lines>84</Lines>
  <Paragraphs>45</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