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A655" w14:textId="77777777" w:rsidR="00F17838" w:rsidRPr="00F17838" w:rsidRDefault="00F17838">
      <w:pPr>
        <w:rPr>
          <w:b/>
        </w:rPr>
      </w:pPr>
      <w:r w:rsidRPr="00F17838">
        <w:rPr>
          <w:b/>
        </w:rPr>
        <w:t>DAUGHTER-IN-LAW - (kallah, Strong's H3618)</w:t>
      </w:r>
    </w:p>
    <w:p w14:paraId="681B09F5" w14:textId="77777777" w:rsidR="00F17838" w:rsidRDefault="00F17838">
      <w:r w:rsidRPr="00F17838">
        <w:rPr>
          <w:b/>
        </w:rPr>
        <w:t>Summary:</w:t>
      </w:r>
    </w:p>
    <w:p w14:paraId="2E51E9AB" w14:textId="77777777" w:rsidR="00F17838" w:rsidRDefault="00F17838">
      <w:r>
        <w:t>The Hebrew noun kallah refers to a "daughter-in-law" or a "bride." Rooted in a verb meaning to crown, complete, or make perfect, the term highlights the integration of a woman into her husband’s household and family line. In Ruth 4:15, kallah designates Ruth in relation to her mother-in-law, Naomi. The context elevates this relational term to its highest expression, demonstrating how a daughter-in-law's voluntary covenant loyalty (chesed) could surpass the culturally prized value of biological sons in preserving a family's inheritance and joy.</w:t>
      </w:r>
    </w:p>
    <w:p w14:paraId="5B1DA48F" w14:textId="77777777" w:rsidR="00F17838" w:rsidRDefault="00F17838"/>
    <w:p w14:paraId="54D06E12" w14:textId="77777777" w:rsidR="00F17838" w:rsidRDefault="00F17838">
      <w:r w:rsidRPr="00F17838">
        <w:rPr>
          <w:b/>
        </w:rPr>
        <w:t>Full Study:</w:t>
      </w:r>
    </w:p>
    <w:p w14:paraId="4D1FE9F9" w14:textId="77777777" w:rsidR="00F17838" w:rsidRDefault="00F17838"/>
    <w:p w14:paraId="647D92D0" w14:textId="77777777" w:rsidR="00F17838" w:rsidRPr="00F17838" w:rsidRDefault="00F17838">
      <w:pPr>
        <w:rPr>
          <w:b/>
        </w:rPr>
      </w:pPr>
      <w:r w:rsidRPr="00F17838">
        <w:rPr>
          <w:b/>
        </w:rPr>
        <w:t>1. Word Picture / Background</w:t>
      </w:r>
    </w:p>
    <w:p w14:paraId="1B8CA04F" w14:textId="77777777" w:rsidR="00F17838" w:rsidRDefault="00F17838">
      <w:r>
        <w:t>The noun kallah is deeply embedded in the family-centric culture of the ancient Near East. It derives from the verbal root kalal, which means to complete, crown, or make perfect. In the ancient Israelite household, a daughter-in-law was not merely a legal relation; she was the "completed" addition to the patriarchal clan who brought the potential for future generations. The word picture suggests a woman who is adorned, crowned, or brought into completion through her marriage covenant. Traditionally, when a son married, his bride entered his father's household as a kallah, assuming a vital role in maintaining the family’s economic viability and genealogical continuity.</w:t>
      </w:r>
    </w:p>
    <w:p w14:paraId="6EDD45A8" w14:textId="77777777" w:rsidR="00F17838" w:rsidRDefault="00F17838"/>
    <w:p w14:paraId="06230BFA" w14:textId="77777777" w:rsidR="00F17838" w:rsidRPr="00F17838" w:rsidRDefault="00F17838">
      <w:pPr>
        <w:rPr>
          <w:b/>
        </w:rPr>
      </w:pPr>
      <w:r w:rsidRPr="00F17838">
        <w:rPr>
          <w:b/>
        </w:rPr>
        <w:t>2. Meaning / Lexical Definition</w:t>
      </w:r>
    </w:p>
    <w:p w14:paraId="5574EBAB" w14:textId="77777777" w:rsidR="00F17838" w:rsidRDefault="00F17838">
      <w:r>
        <w:t>The semantic range of kallah consists of two primary aspects:</w:t>
      </w:r>
    </w:p>
    <w:p w14:paraId="6C8FD0FF" w14:textId="77777777" w:rsidR="00F17838" w:rsidRDefault="00F17838">
      <w:r>
        <w:t>• Bride: A newly married woman or a woman betrothed to be married.</w:t>
      </w:r>
    </w:p>
    <w:p w14:paraId="2C049455" w14:textId="77777777" w:rsidR="00F17838" w:rsidRDefault="00F17838">
      <w:r>
        <w:t>• Daughter-in-law: The wife of one's son.</w:t>
      </w:r>
    </w:p>
    <w:p w14:paraId="55956F55" w14:textId="77777777" w:rsidR="00F17838" w:rsidRDefault="00F17838">
      <w:r>
        <w:t>The specific meaning is always governed by the relational context. When spoken of by or in relation to a husband, it means "bride" or "spouse." When spoken of in relation to the husband’s parents, it means "daughter-in-law." Lexically, the term emphasizes the woman's status as a bound, covenantal member of her new family.</w:t>
      </w:r>
    </w:p>
    <w:p w14:paraId="15C86BFA" w14:textId="77777777" w:rsidR="00F17838" w:rsidRDefault="00F17838"/>
    <w:p w14:paraId="55139857" w14:textId="77777777" w:rsidR="00F17838" w:rsidRPr="00F17838" w:rsidRDefault="00F17838">
      <w:pPr>
        <w:rPr>
          <w:b/>
        </w:rPr>
      </w:pPr>
      <w:r w:rsidRPr="00F17838">
        <w:rPr>
          <w:b/>
        </w:rPr>
        <w:t>3. Usage and Word Pictures</w:t>
      </w:r>
    </w:p>
    <w:p w14:paraId="0959185C" w14:textId="77777777" w:rsidR="00F17838" w:rsidRDefault="00F17838">
      <w:r>
        <w:t>• The Crowned Bride: In Hebrew poetry and prophecy, kallah is used to describe a bride adorned with jewels, symbolizing beauty, joy, and the high value placed on marriage. This usage depicts the relationship between God and His people, illustrating Israel as the adorned bride of Yahweh.</w:t>
      </w:r>
    </w:p>
    <w:p w14:paraId="39EC4095" w14:textId="77777777" w:rsidR="00F17838" w:rsidRDefault="00F17838">
      <w:r>
        <w:t>• The Family Builder: In narrative texts, the kallah is the vehicle for continuing the father-in-law’s lineage. This is particularly evident in the narratives of Tamar and Ruth, where the daughters-in-law must navigate extraordinary circumstances to preserve the family names of their deceased husbands.</w:t>
      </w:r>
    </w:p>
    <w:p w14:paraId="0832792A" w14:textId="77777777" w:rsidR="00F17838" w:rsidRDefault="00F17838">
      <w:r>
        <w:t>• A Protected Status: Under biblical law, the daughter-in-law occupied a protected position. Sexual relationships between a father-in-law and his kallah were strictly forbidden and carried severe penalties, highlighting her distinct, protected status within the household hierarchy.</w:t>
      </w:r>
    </w:p>
    <w:p w14:paraId="3E966F80" w14:textId="77777777" w:rsidR="00F17838" w:rsidRDefault="00F17838"/>
    <w:p w14:paraId="3CE2DFEF" w14:textId="77777777" w:rsidR="00F17838" w:rsidRPr="00F17838" w:rsidRDefault="00F17838">
      <w:pPr>
        <w:rPr>
          <w:b/>
        </w:rPr>
      </w:pPr>
      <w:r w:rsidRPr="00F17838">
        <w:rPr>
          <w:b/>
        </w:rPr>
        <w:t>4. Theological Implications</w:t>
      </w:r>
    </w:p>
    <w:p w14:paraId="0701B040" w14:textId="77777777" w:rsidR="00F17838" w:rsidRDefault="00F17838">
      <w:r>
        <w:t>The term kallah carries profound theological weight in the history of redemption. Ruth’s status as a Moabite kallah demonstrates the expansive reach of God's covenant grace. Though an outsider by birth, Ruth’s integration into Israel through marriage and her subsequent devotion to Naomi illustrate that faith and covenant loyalty (chesed) transcend ethnic boundaries. Furthermore, the role of the kallah in Israel was designed to protect the vulnerable. When Naomi was left destitute without a husband or sons, it was her kallah, Ruth, who became the instrument of divine provision, ultimately securing the line of David and the Messiah.</w:t>
      </w:r>
    </w:p>
    <w:p w14:paraId="536941BF" w14:textId="77777777" w:rsidR="00F17838" w:rsidRDefault="00F17838"/>
    <w:p w14:paraId="53B1D5C0" w14:textId="77777777" w:rsidR="00F17838" w:rsidRPr="00F17838" w:rsidRDefault="00F17838">
      <w:pPr>
        <w:rPr>
          <w:b/>
        </w:rPr>
      </w:pPr>
      <w:r w:rsidRPr="00F17838">
        <w:rPr>
          <w:b/>
        </w:rPr>
        <w:t>5. Contextual Nuance in the Passage</w:t>
      </w:r>
    </w:p>
    <w:p w14:paraId="69162109" w14:textId="77777777" w:rsidR="00F17838" w:rsidRDefault="00F17838">
      <w:r>
        <w:t>In Ruth 4:15, the women of Bethlehem pronounce a blessing on Naomi following the birth of Obed to Boaz and Ruth. They describe Ruth as "your daughter-in-law, who loves you, who is better to you than seven sons." In patriarchal Israel, sons were the ultimate source of security, labor, and lineage preservation; "seven sons" represented the perfect fullness of familial blessing. By declaring that Naomi's kallah is "better to you than seven sons," the text offers a radical, counter-cultural tribute. Ruth did not merely fulfill her duty as a daughter-in-law; she redefined the role through self-sacrificing love and devotion, proving that covenantal love is more valuable than biological necessity.</w:t>
      </w:r>
    </w:p>
    <w:p w14:paraId="0767FBB8" w14:textId="77777777" w:rsidR="00F17838" w:rsidRDefault="00F17838"/>
    <w:p w14:paraId="4F2E0426" w14:textId="77777777" w:rsidR="00F17838" w:rsidRPr="00F17838" w:rsidRDefault="00F17838">
      <w:pPr>
        <w:rPr>
          <w:b/>
        </w:rPr>
      </w:pPr>
      <w:r w:rsidRPr="00F17838">
        <w:rPr>
          <w:b/>
        </w:rPr>
        <w:t>6. Key Uses in Other Verses (NKJV)</w:t>
      </w:r>
    </w:p>
    <w:p w14:paraId="50687C52" w14:textId="77777777" w:rsidR="00F17838" w:rsidRDefault="00F17838">
      <w:r>
        <w:t>• Genesis 38:11 - "Then Judah said to Tamar his daughter-in-law, 'Remain a widow in your father’s house until my son Shelah is grown.'"</w:t>
      </w:r>
    </w:p>
    <w:p w14:paraId="01B83A4C" w14:textId="77777777" w:rsidR="00F17838" w:rsidRDefault="00F17838">
      <w:r>
        <w:t>• Leviticus 18:15 - "You shall not uncover the nakedness of your daughter-in-law; she is your son’s wife; you shall not uncover her nakedness."</w:t>
      </w:r>
    </w:p>
    <w:p w14:paraId="6826F7FC" w14:textId="77777777" w:rsidR="00F17838" w:rsidRDefault="00F17838">
      <w:r>
        <w:t>• Ruth 1:22 - "So Naomi returned, and Ruth the Moabitess her daughter-in-law with her, who returned from the country of Moab."</w:t>
      </w:r>
    </w:p>
    <w:p w14:paraId="55A849A6" w14:textId="77777777" w:rsidR="00F17838" w:rsidRDefault="00F17838">
      <w:r>
        <w:t>• Micah 7:6 - "For son dishonors father, daughter rises against her mother, daughter-in-law against her mother-in-law; a man’s enemies are the men of his own household."</w:t>
      </w:r>
    </w:p>
    <w:p w14:paraId="0B969002" w14:textId="77777777" w:rsidR="00F17838" w:rsidRDefault="00F17838"/>
    <w:p w14:paraId="0E7CEAC1" w14:textId="77777777" w:rsidR="00F17838" w:rsidRPr="00F17838" w:rsidRDefault="00F17838">
      <w:pPr>
        <w:rPr>
          <w:b/>
        </w:rPr>
      </w:pPr>
      <w:r w:rsidRPr="00F17838">
        <w:rPr>
          <w:b/>
        </w:rPr>
        <w:t>7. Other Relevant Insights</w:t>
      </w:r>
    </w:p>
    <w:p w14:paraId="082F0DD7" w14:textId="77777777" w:rsidR="00F17838" w:rsidRDefault="00F17838">
      <w:r>
        <w:t>The relationship between a mother-in-law and a daughter-in-law (kallah) was sometimes viewed with suspicion or associated with tension in the ancient world, as hinted at in Micah 7:6. The book of Ruth serves as a deliberate literary and moral contrast to this stereotype. Instead of division and self-preservation, the bond between Naomi and her kallah is marked by mutual protection, shared faith, and deep affection, offering a biblical model of family restored by grace.</w:t>
      </w:r>
    </w:p>
    <w:p w14:paraId="011D4299" w14:textId="77777777" w:rsidR="00F17838" w:rsidRDefault="00F17838"/>
    <w:p w14:paraId="7A488CB8" w14:textId="77777777" w:rsidR="00F17838" w:rsidRPr="00F17838" w:rsidRDefault="00F17838">
      <w:pPr>
        <w:rPr>
          <w:b/>
        </w:rPr>
      </w:pPr>
      <w:r w:rsidRPr="00F17838">
        <w:rPr>
          <w:b/>
        </w:rPr>
        <w:t>8. References</w:t>
      </w:r>
    </w:p>
    <w:p w14:paraId="05EFC586" w14:textId="77777777" w:rsidR="00F17838" w:rsidRDefault="00F17838">
      <w:r>
        <w:t>• Hebrew and Aramaic Lexicon of the Old Testament (HALOT)</w:t>
      </w:r>
    </w:p>
    <w:p w14:paraId="1902AB57" w14:textId="77777777" w:rsidR="00F17838" w:rsidRDefault="00F17838">
      <w:r>
        <w:t>• Brown-Driver-Briggs Hebrew and English Lexicon (BDB)</w:t>
      </w:r>
    </w:p>
    <w:p w14:paraId="74DD6E29" w14:textId="77777777" w:rsidR="00F17838" w:rsidRDefault="00F17838">
      <w:r>
        <w:t>• Theological Wordbook of the Old Testament (TWOT)</w:t>
      </w:r>
    </w:p>
    <w:p w14:paraId="16A59F0E" w14:textId="77777777" w:rsidR="00F17838" w:rsidRDefault="00F17838">
      <w:r>
        <w:t>• New International Dictionary of Old Testament Theology and Exegesis (NIDOTTE)</w:t>
      </w:r>
    </w:p>
    <w:p w14:paraId="543F7611" w14:textId="77777777" w:rsidR="00F17838" w:rsidRDefault="00F17838">
      <w:r>
        <w:t>• Vine's Expository Dictionary of Old and New Testament Words</w:t>
      </w:r>
    </w:p>
    <w:p w14:paraId="2D7298E4" w14:textId="77777777" w:rsidR="00F17838" w:rsidRDefault="00F17838">
      <w:r>
        <w:t>• Blue Letter Bible</w:t>
      </w:r>
    </w:p>
    <w:p w14:paraId="50DAD4A9" w14:textId="20602E0F" w:rsidR="004C5552" w:rsidRDefault="00F17838">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783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F23A8"/>
  <w15:chartTrackingRefBased/>
  <w15:docId w15:val="{C9B008C3-9B52-4F1D-A1BD-BDEA67820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7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7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838"/>
    <w:rPr>
      <w:rFonts w:eastAsiaTheme="majorEastAsia" w:cstheme="majorBidi"/>
      <w:color w:val="272727" w:themeColor="text1" w:themeTint="D8"/>
    </w:rPr>
  </w:style>
  <w:style w:type="paragraph" w:styleId="Title">
    <w:name w:val="Title"/>
    <w:basedOn w:val="Normal"/>
    <w:next w:val="Normal"/>
    <w:link w:val="TitleChar"/>
    <w:uiPriority w:val="10"/>
    <w:qFormat/>
    <w:rsid w:val="00F17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838"/>
    <w:pPr>
      <w:spacing w:before="160"/>
      <w:jc w:val="center"/>
    </w:pPr>
    <w:rPr>
      <w:i/>
      <w:iCs/>
      <w:color w:val="404040" w:themeColor="text1" w:themeTint="BF"/>
    </w:rPr>
  </w:style>
  <w:style w:type="character" w:customStyle="1" w:styleId="QuoteChar">
    <w:name w:val="Quote Char"/>
    <w:basedOn w:val="DefaultParagraphFont"/>
    <w:link w:val="Quote"/>
    <w:uiPriority w:val="29"/>
    <w:rsid w:val="00F17838"/>
    <w:rPr>
      <w:i/>
      <w:iCs/>
      <w:color w:val="404040" w:themeColor="text1" w:themeTint="BF"/>
    </w:rPr>
  </w:style>
  <w:style w:type="paragraph" w:styleId="ListParagraph">
    <w:name w:val="List Paragraph"/>
    <w:basedOn w:val="Normal"/>
    <w:uiPriority w:val="34"/>
    <w:qFormat/>
    <w:rsid w:val="00F17838"/>
    <w:pPr>
      <w:ind w:left="720"/>
      <w:contextualSpacing/>
    </w:pPr>
  </w:style>
  <w:style w:type="character" w:styleId="IntenseEmphasis">
    <w:name w:val="Intense Emphasis"/>
    <w:basedOn w:val="DefaultParagraphFont"/>
    <w:uiPriority w:val="21"/>
    <w:qFormat/>
    <w:rsid w:val="00F17838"/>
    <w:rPr>
      <w:i/>
      <w:iCs/>
      <w:color w:val="2E74B5" w:themeColor="accent1" w:themeShade="BF"/>
    </w:rPr>
  </w:style>
  <w:style w:type="paragraph" w:styleId="IntenseQuote">
    <w:name w:val="Intense Quote"/>
    <w:basedOn w:val="Normal"/>
    <w:next w:val="Normal"/>
    <w:link w:val="IntenseQuoteChar"/>
    <w:uiPriority w:val="30"/>
    <w:qFormat/>
    <w:rsid w:val="00F178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7838"/>
    <w:rPr>
      <w:i/>
      <w:iCs/>
      <w:color w:val="2E74B5" w:themeColor="accent1" w:themeShade="BF"/>
    </w:rPr>
  </w:style>
  <w:style w:type="character" w:styleId="IntenseReference">
    <w:name w:val="Intense Reference"/>
    <w:basedOn w:val="DefaultParagraphFont"/>
    <w:uiPriority w:val="32"/>
    <w:qFormat/>
    <w:rsid w:val="00F178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908</Words>
  <Characters>4723</Characters>
  <Application>Microsoft Office Word</Application>
  <DocSecurity>0</DocSecurity>
  <Lines>90</Lines>
  <Paragraphs>49</Paragraphs>
  <ScaleCrop>false</ScaleCrop>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