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2B81F" w14:textId="77777777" w:rsidR="00CD4BD6" w:rsidRPr="00CD4BD6" w:rsidRDefault="00CD4BD6">
      <w:pPr>
        <w:rPr>
          <w:b/>
        </w:rPr>
      </w:pPr>
      <w:r w:rsidRPr="00CD4BD6">
        <w:rPr>
          <w:b/>
        </w:rPr>
        <w:t>TUTOR - ( paidagōgos , Strong's G3807 )</w:t>
      </w:r>
    </w:p>
    <w:p w14:paraId="1374DEF1" w14:textId="77777777" w:rsidR="00CD4BD6" w:rsidRDefault="00CD4BD6">
      <w:r w:rsidRPr="00CD4BD6">
        <w:rPr>
          <w:b/>
        </w:rPr>
        <w:t>Summary:</w:t>
      </w:r>
    </w:p>
    <w:p w14:paraId="6EEE71A6" w14:textId="77777777" w:rsidR="00CD4BD6" w:rsidRDefault="00CD4BD6">
      <w:r>
        <w:t>The Greek word paidagōgos refers to a trusted household servant or guardian in Greco-Roman society charged with the moral supervision, discipline, and protection of a young boy until he reached maturity. In Galatians 3:24, Paul uses this vivid cultural metaphor to describe the temporary, preparatory role of the Mosaic Law. The Law was not the ultimate teacher or savior, but a strict guardian designed to expose sin, protect Israel, and point them toward their need for justification by faith in Christ. Once faith has come, the believer is no longer under this restrictive custody but enjoys the full rights of adult sonship.</w:t>
      </w:r>
    </w:p>
    <w:p w14:paraId="040F1C4B" w14:textId="77777777" w:rsidR="00CD4BD6" w:rsidRDefault="00CD4BD6"/>
    <w:p w14:paraId="3DAA43DE" w14:textId="77777777" w:rsidR="00CD4BD6" w:rsidRDefault="00CD4BD6">
      <w:r w:rsidRPr="00CD4BD6">
        <w:rPr>
          <w:b/>
        </w:rPr>
        <w:t>Full Study:</w:t>
      </w:r>
    </w:p>
    <w:p w14:paraId="6F9C6104" w14:textId="77777777" w:rsidR="00CD4BD6" w:rsidRDefault="00CD4BD6"/>
    <w:p w14:paraId="68FDD3AB" w14:textId="77777777" w:rsidR="00CD4BD6" w:rsidRPr="00CD4BD6" w:rsidRDefault="00CD4BD6">
      <w:pPr>
        <w:rPr>
          <w:b/>
        </w:rPr>
      </w:pPr>
      <w:r w:rsidRPr="00CD4BD6">
        <w:rPr>
          <w:b/>
        </w:rPr>
        <w:t>1. Word Picture / Background</w:t>
      </w:r>
    </w:p>
    <w:p w14:paraId="6E778188" w14:textId="77777777" w:rsidR="00CD4BD6" w:rsidRDefault="00CD4BD6">
      <w:r>
        <w:t xml:space="preserve">The term paidagōgos is a compound of pais (child) and agōgos (leader or guide, from the verb agō, to lead). Literally translating to "child-leader," the word describes a distinct and highly visible role in ancient Greek and Roman households. </w:t>
      </w:r>
    </w:p>
    <w:p w14:paraId="15C1B114" w14:textId="77777777" w:rsidR="00CD4BD6" w:rsidRDefault="00CD4BD6">
      <w:r>
        <w:t>• A paidagōgos was not the schoolmaster or academic teacher (didaskalos). Rather, he was a trusted slave or household servant assigned to a young boy from about age six until puberty or early manhood.</w:t>
      </w:r>
    </w:p>
    <w:p w14:paraId="0EEC40C4" w14:textId="77777777" w:rsidR="00CD4BD6" w:rsidRDefault="00CD4BD6">
      <w:r>
        <w:t>• His duties were custodial and disciplinary. He accompanied the boy everywhere—to school, the gym, and social gatherings—carrying his books, protecting him from physical and moral dangers, enforcing manners, and administering physical discipline when necessary.</w:t>
      </w:r>
    </w:p>
    <w:p w14:paraId="07E238D1" w14:textId="77777777" w:rsidR="00CD4BD6" w:rsidRDefault="00CD4BD6">
      <w:r>
        <w:t>• In ancient art and literature, the paidagōgos is often depicted as a stern, unyielding figure holding a rod or cane, wearing a simple cloak, and sporting a rough beard. He was associated with constraint, supervision, and correction rather than intellectual enlightenment. His authority was absolute over the child, yet temporary, expiring immediately when the child was declared a mature heir by his father.</w:t>
      </w:r>
    </w:p>
    <w:p w14:paraId="0185AACC" w14:textId="77777777" w:rsidR="00CD4BD6" w:rsidRDefault="00CD4BD6"/>
    <w:p w14:paraId="1C8257AF" w14:textId="77777777" w:rsidR="00CD4BD6" w:rsidRPr="00CD4BD6" w:rsidRDefault="00CD4BD6">
      <w:pPr>
        <w:rPr>
          <w:b/>
        </w:rPr>
      </w:pPr>
      <w:r w:rsidRPr="00CD4BD6">
        <w:rPr>
          <w:b/>
        </w:rPr>
        <w:t>2. Meaning / Lexical Definition</w:t>
      </w:r>
    </w:p>
    <w:p w14:paraId="4913FCCD" w14:textId="77777777" w:rsidR="00CD4BD6" w:rsidRDefault="00CD4BD6">
      <w:r>
        <w:t xml:space="preserve">The noun paidagōgos denotes a guardian, tutor, or custodian who supervises children. </w:t>
      </w:r>
    </w:p>
    <w:p w14:paraId="1A60341B" w14:textId="77777777" w:rsidR="00CD4BD6" w:rsidRDefault="00CD4BD6">
      <w:r>
        <w:t>• It refers to a person, usually of servile status, tasked with the physical oversight, safety, and moral training of a child prior to adulthood.</w:t>
      </w:r>
    </w:p>
    <w:p w14:paraId="745A1A5A" w14:textId="77777777" w:rsidR="00CD4BD6" w:rsidRDefault="00CD4BD6">
      <w:r>
        <w:t>• It describes a temporary, disciplinary office that terminates when the ward reaches the age of maturity.</w:t>
      </w:r>
    </w:p>
    <w:p w14:paraId="7778B3BC" w14:textId="77777777" w:rsidR="00CD4BD6" w:rsidRDefault="00CD4BD6">
      <w:r>
        <w:t>• It carries the strong connotation of restriction, custody, and preparatory discipline, rather than creative instruction or nurture.</w:t>
      </w:r>
    </w:p>
    <w:p w14:paraId="08F0B0A2" w14:textId="77777777" w:rsidR="00CD4BD6" w:rsidRDefault="00CD4BD6"/>
    <w:p w14:paraId="7EB345F9" w14:textId="77777777" w:rsidR="00CD4BD6" w:rsidRPr="00CD4BD6" w:rsidRDefault="00CD4BD6">
      <w:pPr>
        <w:rPr>
          <w:b/>
        </w:rPr>
      </w:pPr>
      <w:r w:rsidRPr="00CD4BD6">
        <w:rPr>
          <w:b/>
        </w:rPr>
        <w:t>3. Usage and Word Pictures</w:t>
      </w:r>
    </w:p>
    <w:p w14:paraId="1C262C78" w14:textId="77777777" w:rsidR="00CD4BD6" w:rsidRDefault="00CD4BD6">
      <w:r>
        <w:t>The word pictures a helper who is strict, unyielding, and protective. The paidagōgos did not teach academic subjects but ensured the child arrived safely at the feet of the teacher and behaved properly along the way. This imagery illustrates a protective custody that is highly restrictive. The child under a paidagōgos has no real freedom; his daily schedule, actions, and companions are entirely regulated. By using this word, Paul illustrates that those under the Law were kept in a state of spiritual minority, hemmed in by boundaries and regulations, waiting for the freedom of maturity.</w:t>
      </w:r>
    </w:p>
    <w:p w14:paraId="1EDD4C23" w14:textId="77777777" w:rsidR="00CD4BD6" w:rsidRDefault="00CD4BD6"/>
    <w:p w14:paraId="6DB1E4D4" w14:textId="77777777" w:rsidR="00CD4BD6" w:rsidRPr="00CD4BD6" w:rsidRDefault="00CD4BD6">
      <w:pPr>
        <w:rPr>
          <w:b/>
        </w:rPr>
      </w:pPr>
      <w:r w:rsidRPr="00CD4BD6">
        <w:rPr>
          <w:b/>
        </w:rPr>
        <w:t>4. Theological Implications</w:t>
      </w:r>
    </w:p>
    <w:p w14:paraId="7D2C4995" w14:textId="77777777" w:rsidR="00CD4BD6" w:rsidRDefault="00CD4BD6">
      <w:r>
        <w:t>• The Temporary Nature of the Mosaic Covenant: The Law was never intended to be a permanent system of salvation or a perpetual way of life for God's people. It had a defined beginning (430 years after Abraham) and a defined end (the coming of Christ).</w:t>
      </w:r>
    </w:p>
    <w:p w14:paraId="0833D3D4" w14:textId="77777777" w:rsidR="00CD4BD6" w:rsidRDefault="00CD4BD6">
      <w:r>
        <w:t>• The Convicting Role of the Law: By setting up strict standards of behavior and enforcing them with discipline, the Law exposes transgression and shuts up everyone under sin. It acts as a mirror that reveals spiritual helplessness, showing the sinner their inability to save themselves.</w:t>
      </w:r>
    </w:p>
    <w:p w14:paraId="16DE437F" w14:textId="77777777" w:rsidR="00CD4BD6" w:rsidRDefault="00CD4BD6">
      <w:r>
        <w:t>• Justification by Faith: The paidagōgos cannot grant inheritance or maturity; it can only deliver the child to the father's house. Similarly, the Law cannot justify; it prepares the heart for the justification that comes only through faith in Christ.</w:t>
      </w:r>
    </w:p>
    <w:p w14:paraId="3355CEFE" w14:textId="77777777" w:rsidR="00CD4BD6" w:rsidRDefault="00CD4BD6"/>
    <w:p w14:paraId="65DD7D67" w14:textId="77777777" w:rsidR="00CD4BD6" w:rsidRPr="00CD4BD6" w:rsidRDefault="00CD4BD6">
      <w:pPr>
        <w:rPr>
          <w:b/>
        </w:rPr>
      </w:pPr>
      <w:r w:rsidRPr="00CD4BD6">
        <w:rPr>
          <w:b/>
        </w:rPr>
        <w:t>5. Contextual Nuance in the Passage</w:t>
      </w:r>
    </w:p>
    <w:p w14:paraId="2FBB4BDE" w14:textId="77777777" w:rsidR="00CD4BD6" w:rsidRDefault="00CD4BD6">
      <w:r>
        <w:t>In Galatians 3:23-25, Paul contrasts the era of "under the law" with the era of "faith." Before faith came, Israel was kept under guard, confined by the Law. The Law acted as our paidagōgos "to bring us to Christ" (eis Christon). This phrase is both temporal and teleological; it means "until Christ came" and "with a view to Christ."</w:t>
      </w:r>
    </w:p>
    <w:p w14:paraId="4B66F231" w14:textId="77777777" w:rsidR="00CD4BD6" w:rsidRDefault="00CD4BD6">
      <w:r>
        <w:t>The Judaizers in Galatia were trying to force Gentile believers back under the Mosaic Law. Paul uses the paidagōgos metaphor to expose the absurdity of this effort. When Christ arrives, the believer's status changes from a minor child under a strict guardian to a mature heir who has direct access to the Father. To go back to the Law is equivalent to an adult choosing to put themselves back under the custody of a household slave. It is an unnecessary and regressive step backward in redemptive history.</w:t>
      </w:r>
    </w:p>
    <w:p w14:paraId="369AAD95" w14:textId="77777777" w:rsidR="00CD4BD6" w:rsidRDefault="00CD4BD6"/>
    <w:p w14:paraId="5311926E" w14:textId="77777777" w:rsidR="00CD4BD6" w:rsidRPr="00CD4BD6" w:rsidRDefault="00CD4BD6">
      <w:pPr>
        <w:rPr>
          <w:b/>
        </w:rPr>
      </w:pPr>
      <w:r w:rsidRPr="00CD4BD6">
        <w:rPr>
          <w:b/>
        </w:rPr>
        <w:t>6. Key Uses in Other Verses (NKJV)</w:t>
      </w:r>
    </w:p>
    <w:p w14:paraId="68B16971" w14:textId="77777777" w:rsidR="00CD4BD6" w:rsidRDefault="00CD4BD6">
      <w:r>
        <w:t>• 1 Corinthians 4:15: "For though you might have ten thousand instructors in Christ, yet you do not have many fathers..." (Here, Paul contrasts the many strict guardians/instructors with his own role as their spiritual father who begot them through the gospel).</w:t>
      </w:r>
    </w:p>
    <w:p w14:paraId="6918EC1D" w14:textId="77777777" w:rsidR="00CD4BD6" w:rsidRDefault="00CD4BD6">
      <w:r>
        <w:t>• Galatians 3:24: "Therefore the law was our tutor to bring us to Christ, that we might be justified by faith."</w:t>
      </w:r>
    </w:p>
    <w:p w14:paraId="66ED4BD9" w14:textId="77777777" w:rsidR="00CD4BD6" w:rsidRDefault="00CD4BD6">
      <w:r>
        <w:t>• Galatians 3:25: "But after faith has come, we are no longer under a tutor."</w:t>
      </w:r>
    </w:p>
    <w:p w14:paraId="2D1C45D8" w14:textId="77777777" w:rsidR="00CD4BD6" w:rsidRDefault="00CD4BD6"/>
    <w:p w14:paraId="74DC9A2C" w14:textId="77777777" w:rsidR="00CD4BD6" w:rsidRPr="00CD4BD6" w:rsidRDefault="00CD4BD6">
      <w:pPr>
        <w:rPr>
          <w:b/>
        </w:rPr>
      </w:pPr>
      <w:r w:rsidRPr="00CD4BD6">
        <w:rPr>
          <w:b/>
        </w:rPr>
        <w:t>7. Other Relevant Insights</w:t>
      </w:r>
    </w:p>
    <w:p w14:paraId="76F16767" w14:textId="77777777" w:rsidR="00CD4BD6" w:rsidRDefault="00CD4BD6">
      <w:r>
        <w:t>• Contrast with Teacher (didaskalos): It is critical for expositors not to confuse "tutor" (paidagōgos) with a modern schoolteacher. The paidagōgos did not impart the light of education; he enforced the rules of behavior. The Law did not give life or write itself on the heart; it hemmed in the behavior of Israel, preserving them as a distinct nation until the Messiah arrived.</w:t>
      </w:r>
    </w:p>
    <w:p w14:paraId="13BA411C" w14:textId="77777777" w:rsidR="00CD4BD6" w:rsidRDefault="00CD4BD6">
      <w:r>
        <w:t>• The Pastoral Application: Preachers can use this to show that the Law still functions as a paidagōgos in evangelism today. It convicts of sin, strips away self-righteousness, and drives a person to find relief and grace in Christ alone. It prepares the sinner to receive the Savior.</w:t>
      </w:r>
    </w:p>
    <w:p w14:paraId="73D3C5B1" w14:textId="77777777" w:rsidR="00CD4BD6" w:rsidRDefault="00CD4BD6"/>
    <w:p w14:paraId="1C35F4AE" w14:textId="77777777" w:rsidR="00CD4BD6" w:rsidRPr="00CD4BD6" w:rsidRDefault="00CD4BD6">
      <w:pPr>
        <w:rPr>
          <w:b/>
        </w:rPr>
      </w:pPr>
      <w:r w:rsidRPr="00CD4BD6">
        <w:rPr>
          <w:b/>
        </w:rPr>
        <w:t>8. References</w:t>
      </w:r>
    </w:p>
    <w:p w14:paraId="1B30D71E" w14:textId="77777777" w:rsidR="00CD4BD6" w:rsidRDefault="00CD4BD6">
      <w:r>
        <w:t>• Analytical Lexicon of the Greek New Testament</w:t>
      </w:r>
    </w:p>
    <w:p w14:paraId="53A87632" w14:textId="77777777" w:rsidR="00CD4BD6" w:rsidRDefault="00CD4BD6">
      <w:r>
        <w:t>• Theological Dictionary of the New Testament</w:t>
      </w:r>
    </w:p>
    <w:p w14:paraId="0EF4D543" w14:textId="77777777" w:rsidR="00CD4BD6" w:rsidRDefault="00CD4BD6">
      <w:r>
        <w:t>• Vine's Expository Dictionary of New Testament Words</w:t>
      </w:r>
    </w:p>
    <w:p w14:paraId="3EF2FE57" w14:textId="77777777" w:rsidR="00CD4BD6" w:rsidRDefault="00CD4BD6">
      <w:r>
        <w:t>• Word Pictures in the New Testament (A.T. Robertson)</w:t>
      </w:r>
    </w:p>
    <w:p w14:paraId="1C704FA7" w14:textId="77777777" w:rsidR="00CD4BD6" w:rsidRDefault="00CD4BD6">
      <w:r>
        <w:t>• Expository Notes on the New Testament (Albert Barnes)</w:t>
      </w:r>
    </w:p>
    <w:p w14:paraId="1688DE7D" w14:textId="43EEF311" w:rsidR="004C5552" w:rsidRDefault="00CD4BD6">
      <w:r>
        <w:t>• The Epistle to the Galatians (F.F. Bruce)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BD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4BD6"/>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878D5"/>
  <w15:chartTrackingRefBased/>
  <w15:docId w15:val="{E3328590-AD6B-4D64-9414-43C22810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4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4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BD6"/>
    <w:rPr>
      <w:rFonts w:eastAsiaTheme="majorEastAsia" w:cstheme="majorBidi"/>
      <w:color w:val="272727" w:themeColor="text1" w:themeTint="D8"/>
    </w:rPr>
  </w:style>
  <w:style w:type="paragraph" w:styleId="Title">
    <w:name w:val="Title"/>
    <w:basedOn w:val="Normal"/>
    <w:next w:val="Normal"/>
    <w:link w:val="TitleChar"/>
    <w:uiPriority w:val="10"/>
    <w:qFormat/>
    <w:rsid w:val="00CD4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BD6"/>
    <w:pPr>
      <w:spacing w:before="160"/>
      <w:jc w:val="center"/>
    </w:pPr>
    <w:rPr>
      <w:i/>
      <w:iCs/>
      <w:color w:val="404040" w:themeColor="text1" w:themeTint="BF"/>
    </w:rPr>
  </w:style>
  <w:style w:type="character" w:customStyle="1" w:styleId="QuoteChar">
    <w:name w:val="Quote Char"/>
    <w:basedOn w:val="DefaultParagraphFont"/>
    <w:link w:val="Quote"/>
    <w:uiPriority w:val="29"/>
    <w:rsid w:val="00CD4BD6"/>
    <w:rPr>
      <w:i/>
      <w:iCs/>
      <w:color w:val="404040" w:themeColor="text1" w:themeTint="BF"/>
    </w:rPr>
  </w:style>
  <w:style w:type="paragraph" w:styleId="ListParagraph">
    <w:name w:val="List Paragraph"/>
    <w:basedOn w:val="Normal"/>
    <w:uiPriority w:val="34"/>
    <w:qFormat/>
    <w:rsid w:val="00CD4BD6"/>
    <w:pPr>
      <w:ind w:left="720"/>
      <w:contextualSpacing/>
    </w:pPr>
  </w:style>
  <w:style w:type="character" w:styleId="IntenseEmphasis">
    <w:name w:val="Intense Emphasis"/>
    <w:basedOn w:val="DefaultParagraphFont"/>
    <w:uiPriority w:val="21"/>
    <w:qFormat/>
    <w:rsid w:val="00CD4BD6"/>
    <w:rPr>
      <w:i/>
      <w:iCs/>
      <w:color w:val="2E74B5" w:themeColor="accent1" w:themeShade="BF"/>
    </w:rPr>
  </w:style>
  <w:style w:type="paragraph" w:styleId="IntenseQuote">
    <w:name w:val="Intense Quote"/>
    <w:basedOn w:val="Normal"/>
    <w:next w:val="Normal"/>
    <w:link w:val="IntenseQuoteChar"/>
    <w:uiPriority w:val="30"/>
    <w:qFormat/>
    <w:rsid w:val="00CD4B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4BD6"/>
    <w:rPr>
      <w:i/>
      <w:iCs/>
      <w:color w:val="2E74B5" w:themeColor="accent1" w:themeShade="BF"/>
    </w:rPr>
  </w:style>
  <w:style w:type="character" w:styleId="IntenseReference">
    <w:name w:val="Intense Reference"/>
    <w:basedOn w:val="DefaultParagraphFont"/>
    <w:uiPriority w:val="32"/>
    <w:qFormat/>
    <w:rsid w:val="00CD4B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919</Words>
  <Characters>5242</Characters>
  <Application>Microsoft Office Word</Application>
  <DocSecurity>0</DocSecurity>
  <Lines>43</Lines>
  <Paragraphs>12</Paragraphs>
  <ScaleCrop>false</ScaleCrop>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2026-08-14T11:52:00Z</dcterms:created>
  <dcterms:modified xsi:type="dcterms:W3CDTF">2026-08-14T11:52:00Z</dcterms:modified>
</cp:coreProperties>
</file>