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EBDF9" w14:textId="77777777" w:rsidR="001029A9" w:rsidRPr="001029A9" w:rsidRDefault="001029A9">
      <w:pPr>
        <w:rPr>
          <w:b/>
        </w:rPr>
      </w:pPr>
      <w:r w:rsidRPr="001029A9">
        <w:rPr>
          <w:b/>
        </w:rPr>
        <w:t>DOCTRINE - ( didache , Strong's G1322 )</w:t>
      </w:r>
    </w:p>
    <w:p w14:paraId="74DEA66C" w14:textId="77777777" w:rsidR="001029A9" w:rsidRDefault="001029A9">
      <w:r w:rsidRPr="001029A9">
        <w:rPr>
          <w:b/>
        </w:rPr>
        <w:t>Summary:</w:t>
      </w:r>
    </w:p>
    <w:p w14:paraId="06E46156" w14:textId="77777777" w:rsidR="001029A9" w:rsidRDefault="001029A9">
      <w:r>
        <w:t>The Greek noun didache refers to both the act of teaching and, more prominently in the Epistles and Revelation, the content of that teaching—the authoritative body of doctrine. In Revelation 2:24, it defines the line of demarcation between the compromised faction in Thyatira and the faithful remnant who rejected the toxic teachings of the false prophetess Jezebel. To reject this corrupt "doctrine" was to remain loyal to the pure, uncompromised gospel of Jesus Christ.</w:t>
      </w:r>
    </w:p>
    <w:p w14:paraId="2642CD62" w14:textId="77777777" w:rsidR="001029A9" w:rsidRDefault="001029A9"/>
    <w:p w14:paraId="59043471" w14:textId="77777777" w:rsidR="001029A9" w:rsidRDefault="001029A9">
      <w:r w:rsidRPr="001029A9">
        <w:rPr>
          <w:b/>
        </w:rPr>
        <w:t>Full Study:</w:t>
      </w:r>
    </w:p>
    <w:p w14:paraId="2B6CF7FC" w14:textId="77777777" w:rsidR="001029A9" w:rsidRDefault="001029A9"/>
    <w:p w14:paraId="512BFCDD" w14:textId="77777777" w:rsidR="001029A9" w:rsidRPr="001029A9" w:rsidRDefault="001029A9">
      <w:pPr>
        <w:rPr>
          <w:b/>
        </w:rPr>
      </w:pPr>
      <w:r w:rsidRPr="001029A9">
        <w:rPr>
          <w:b/>
        </w:rPr>
        <w:t>1. Word Picture / Background</w:t>
      </w:r>
    </w:p>
    <w:p w14:paraId="07B07FB6" w14:textId="77777777" w:rsidR="001029A9" w:rsidRDefault="001029A9">
      <w:r>
        <w:t>• The word didache is derived from the root verb didasko, which means to teach, instruct, or impart knowledge.</w:t>
      </w:r>
    </w:p>
    <w:p w14:paraId="23EB7702" w14:textId="77777777" w:rsidR="001029A9" w:rsidRDefault="001029A9">
      <w:r>
        <w:t>• In the ancient Greco-Roman world, philosophers, rabbis, and religious leaders all possessed their own didache—a distinct body of principles that defined their school of thought and governed the daily conduct of their followers.</w:t>
      </w:r>
    </w:p>
    <w:p w14:paraId="1D5739DF" w14:textId="77777777" w:rsidR="001029A9" w:rsidRDefault="001029A9">
      <w:r>
        <w:t>• In a biblical context, didache is never merely academic theory or abstract philosophy. It represents divine truth formulated for life. New Testament doctrine is designed to shape the mind, direct the will, and transform behavior.</w:t>
      </w:r>
    </w:p>
    <w:p w14:paraId="4CCAA735" w14:textId="77777777" w:rsidR="001029A9" w:rsidRDefault="001029A9"/>
    <w:p w14:paraId="0781BB68" w14:textId="77777777" w:rsidR="001029A9" w:rsidRPr="001029A9" w:rsidRDefault="001029A9">
      <w:pPr>
        <w:rPr>
          <w:b/>
        </w:rPr>
      </w:pPr>
      <w:r w:rsidRPr="001029A9">
        <w:rPr>
          <w:b/>
        </w:rPr>
        <w:t>2. Meaning / Lexical Definition</w:t>
      </w:r>
    </w:p>
    <w:p w14:paraId="66E9B50C" w14:textId="77777777" w:rsidR="001029A9" w:rsidRDefault="001029A9">
      <w:r>
        <w:t>• The noun didache carries a double nuance depending on context: the active process of instruction (the "teaching") and the objective content of what is taught (the "doctrine").</w:t>
      </w:r>
    </w:p>
    <w:p w14:paraId="1EABF9AE" w14:textId="77777777" w:rsidR="001029A9" w:rsidRDefault="001029A9">
      <w:r>
        <w:t>• In the Epistles and the book of Revelation, the word almost exclusively shifts toward the objective sense. It denotes a established body of truth, a standard of belief, or a specific set of sectarian teachings that demand adherence.</w:t>
      </w:r>
    </w:p>
    <w:p w14:paraId="1050EB84" w14:textId="77777777" w:rsidR="001029A9" w:rsidRDefault="001029A9">
      <w:r>
        <w:t>• It refers to the systematic instruction that forms the foundation of faith and practice, whether it is the healthy doctrine of Christ or the destructive doctrine of false teachers.</w:t>
      </w:r>
    </w:p>
    <w:p w14:paraId="2AE5B79E" w14:textId="77777777" w:rsidR="001029A9" w:rsidRDefault="001029A9"/>
    <w:p w14:paraId="28B40D62" w14:textId="77777777" w:rsidR="001029A9" w:rsidRPr="001029A9" w:rsidRDefault="001029A9">
      <w:pPr>
        <w:rPr>
          <w:b/>
        </w:rPr>
      </w:pPr>
      <w:r w:rsidRPr="001029A9">
        <w:rPr>
          <w:b/>
        </w:rPr>
        <w:t>3. Usage and Word Pictures</w:t>
      </w:r>
    </w:p>
    <w:p w14:paraId="1C9D4691" w14:textId="77777777" w:rsidR="001029A9" w:rsidRDefault="001029A9">
      <w:r>
        <w:t>• The Astonishing Authority: In the Gospels, didache often refers to the dynamic and authoritative manner of Jesus' teaching, which left the crowds utterly amazed because He did not teach like the scribes.</w:t>
      </w:r>
    </w:p>
    <w:p w14:paraId="4BFAD1DD" w14:textId="77777777" w:rsidR="001029A9" w:rsidRDefault="001029A9">
      <w:r>
        <w:t>• The Mold of Truth: In Romans 6:17, doctrine is presented as a spiritual mold (typos) into which the believer is poured. The believer is shaped and formed by the didache they obey from the heart.</w:t>
      </w:r>
    </w:p>
    <w:p w14:paraId="078E82E6" w14:textId="77777777" w:rsidR="001029A9" w:rsidRDefault="001029A9">
      <w:r>
        <w:t>• The Guardrail of Faith: In the later New Testament writings, didache acts as a protective boundary. Abiding in the "doctrine of Christ" is the essential marker of genuine fellowship with God, while departing from it leads to spiritual ruin.</w:t>
      </w:r>
    </w:p>
    <w:p w14:paraId="1C73EC79" w14:textId="77777777" w:rsidR="001029A9" w:rsidRDefault="001029A9"/>
    <w:p w14:paraId="09320C5F" w14:textId="77777777" w:rsidR="001029A9" w:rsidRPr="001029A9" w:rsidRDefault="001029A9">
      <w:pPr>
        <w:rPr>
          <w:b/>
        </w:rPr>
      </w:pPr>
      <w:r w:rsidRPr="001029A9">
        <w:rPr>
          <w:b/>
        </w:rPr>
        <w:t>4. Theological Implications</w:t>
      </w:r>
    </w:p>
    <w:p w14:paraId="1B44A1DA" w14:textId="77777777" w:rsidR="001029A9" w:rsidRDefault="001029A9">
      <w:r>
        <w:t>• Doctrine determines direction. What a person or a church believes directly dictates how they live. There is an inseparable link between theology and morality; a compromise in didache inevitably leads to a compromise in conduct.</w:t>
      </w:r>
    </w:p>
    <w:p w14:paraId="2F83693F" w14:textId="77777777" w:rsidR="001029A9" w:rsidRDefault="001029A9">
      <w:r>
        <w:t>• The local church is called to be the pillar and ground of the truth. When a church tolerates false didache, it relinquishes its holiness and witness.</w:t>
      </w:r>
    </w:p>
    <w:p w14:paraId="6940D7A4" w14:textId="77777777" w:rsidR="001029A9" w:rsidRDefault="001029A9">
      <w:r>
        <w:t>• False doctrine is not a benign difference of opinion. It is a spiritual poison that actively corrupts the soul and invites divine discipline.</w:t>
      </w:r>
    </w:p>
    <w:p w14:paraId="721CBBD1" w14:textId="77777777" w:rsidR="001029A9" w:rsidRDefault="001029A9"/>
    <w:p w14:paraId="5E8B880C" w14:textId="77777777" w:rsidR="001029A9" w:rsidRPr="001029A9" w:rsidRDefault="001029A9">
      <w:pPr>
        <w:rPr>
          <w:b/>
        </w:rPr>
      </w:pPr>
      <w:r w:rsidRPr="001029A9">
        <w:rPr>
          <w:b/>
        </w:rPr>
        <w:t>5. Contextual Nuance in the Passage</w:t>
      </w:r>
    </w:p>
    <w:p w14:paraId="0D6851AC" w14:textId="77777777" w:rsidR="001029A9" w:rsidRDefault="001029A9">
      <w:r>
        <w:t>• In Revelation 2:24, Jesus addresses the faithful believers in Thyatira who "do not have this doctrine." The "doctrine" in view is the highly compromise-oriented teaching of "that woman Jezebel" (Revelation 2:20).</w:t>
      </w:r>
    </w:p>
    <w:p w14:paraId="78BC1BCA" w14:textId="77777777" w:rsidR="001029A9" w:rsidRDefault="001029A9">
      <w:r>
        <w:t>• Jezebel's didache advocated for a dangerous syncretism. She taught that believers could integrate into the pagan trade guilds of Thyatira—which required eating food sacrificed to idols and participating in pagan sexual immorality—without losing their standing with God.</w:t>
      </w:r>
    </w:p>
    <w:p w14:paraId="5FB4EB32" w14:textId="77777777" w:rsidR="001029A9" w:rsidRDefault="001029A9">
      <w:r>
        <w:t>• This teaching was likely framed as an intellectual or spiritual advancement, which Jesus exposes as "the depths of Satan." The proponents of this doctrine may have argued that a spiritually mature person could indulge in pagan practices without being defiled, or that they needed to "know" evil to overcome it.</w:t>
      </w:r>
    </w:p>
    <w:p w14:paraId="032EC5FA" w14:textId="77777777" w:rsidR="001029A9" w:rsidRDefault="001029A9">
      <w:r>
        <w:t>• Jesus commends the remnant who rejected this didache, declaring that by refusing this compromise, they have kept themselves pure. He places no other burden upon them except to "hold fast" what they already have until He comes.</w:t>
      </w:r>
    </w:p>
    <w:p w14:paraId="71833B19" w14:textId="77777777" w:rsidR="001029A9" w:rsidRDefault="001029A9"/>
    <w:p w14:paraId="58D5633F" w14:textId="77777777" w:rsidR="001029A9" w:rsidRPr="001029A9" w:rsidRDefault="001029A9">
      <w:pPr>
        <w:rPr>
          <w:b/>
        </w:rPr>
      </w:pPr>
      <w:r w:rsidRPr="001029A9">
        <w:rPr>
          <w:b/>
        </w:rPr>
        <w:t>6. Key Uses in Other Verses (NKJV)</w:t>
      </w:r>
    </w:p>
    <w:p w14:paraId="6A29B3DC" w14:textId="77777777" w:rsidR="001029A9" w:rsidRDefault="001029A9">
      <w:r>
        <w:t>• Matthew 7:28: "And so it was, when Jesus had ended these sayings, that the people were astonished at His teaching,"</w:t>
      </w:r>
    </w:p>
    <w:p w14:paraId="5E446CD3" w14:textId="77777777" w:rsidR="001029A9" w:rsidRDefault="001029A9">
      <w:r>
        <w:t>• Romans 6:17: "But God be thanked that though you were slaves of sin, yet you obeyed from the heart that form of doctrine to which you were delivered."</w:t>
      </w:r>
    </w:p>
    <w:p w14:paraId="2FF392CA" w14:textId="77777777" w:rsidR="001029A9" w:rsidRDefault="001029A9">
      <w:r>
        <w:t>• Romans 16:17: "Now I urge you, brethren, note those who cause divisions and offenses, contrary to the doctrine which you learned, and avoid them."</w:t>
      </w:r>
    </w:p>
    <w:p w14:paraId="31961D26" w14:textId="77777777" w:rsidR="001029A9" w:rsidRDefault="001029A9">
      <w:r>
        <w:t>• Titus 1:9: "holding fast the faithful word as he has been taught, that he may be able, by sound doctrine, both to exhort and convict those who contradict."</w:t>
      </w:r>
    </w:p>
    <w:p w14:paraId="4C037541" w14:textId="77777777" w:rsidR="001029A9" w:rsidRDefault="001029A9">
      <w:r>
        <w:t>• 2 John 1:9: "Whoever transgresses and does not abide in the doctrine of Christ does not have God. He who abides in the doctrine of Christ has both the Father and the Son."</w:t>
      </w:r>
    </w:p>
    <w:p w14:paraId="55A976BB" w14:textId="77777777" w:rsidR="001029A9" w:rsidRDefault="001029A9"/>
    <w:p w14:paraId="750966EA" w14:textId="77777777" w:rsidR="001029A9" w:rsidRPr="001029A9" w:rsidRDefault="001029A9">
      <w:pPr>
        <w:rPr>
          <w:b/>
        </w:rPr>
      </w:pPr>
      <w:r w:rsidRPr="001029A9">
        <w:rPr>
          <w:b/>
        </w:rPr>
        <w:t>7. Other Relevant Insights</w:t>
      </w:r>
    </w:p>
    <w:p w14:paraId="76F9C47D" w14:textId="77777777" w:rsidR="001029A9" w:rsidRDefault="001029A9">
      <w:r>
        <w:t>• The early church valued the concept of authoritative teaching so highly that one of the earliest post-apostolic writings (dating to the late first or early second century) was titled the Didache (The Teaching of the Twelve Apostles). This document served as a practical manual for Christian discipleship, ethics, and church order, demonstrating that the early Christians viewed doctrine as a practical blueprint for holy living in a pagan world.</w:t>
      </w:r>
    </w:p>
    <w:p w14:paraId="3644F6E8" w14:textId="77777777" w:rsidR="001029A9" w:rsidRDefault="001029A9"/>
    <w:p w14:paraId="192E0A1F" w14:textId="77777777" w:rsidR="001029A9" w:rsidRPr="001029A9" w:rsidRDefault="001029A9">
      <w:pPr>
        <w:rPr>
          <w:b/>
        </w:rPr>
      </w:pPr>
      <w:r w:rsidRPr="001029A9">
        <w:rPr>
          <w:b/>
        </w:rPr>
        <w:t>8. References</w:t>
      </w:r>
    </w:p>
    <w:p w14:paraId="7453B433" w14:textId="77777777" w:rsidR="001029A9" w:rsidRDefault="001029A9">
      <w:r>
        <w:t>• Arndt, William, Frederick W. Danker, and Walter Bauer. A Greek-English Lexicon of the New Testament and Other Early Christian Literature. Chicago: University of Chicago Press, 2000.</w:t>
      </w:r>
    </w:p>
    <w:p w14:paraId="4C87A11E" w14:textId="77777777" w:rsidR="001029A9" w:rsidRDefault="001029A9">
      <w:r>
        <w:t>• Balz, Horst, and Gerhard Schneider, eds. Exegetical Dictionary of the New Testament. Grand Rapids: Eerdmans, 1990.</w:t>
      </w:r>
    </w:p>
    <w:p w14:paraId="5DCBE3B5" w14:textId="77777777" w:rsidR="001029A9" w:rsidRDefault="001029A9">
      <w:r>
        <w:t>• Kittel, Gerhard, Gerhard Friedrich, and Geoffrey William Bromiley, eds. Theological Dictionary of the New Testament. Grand Rapids: Eerdmans, 1985.</w:t>
      </w:r>
    </w:p>
    <w:p w14:paraId="7F7894EF" w14:textId="77777777" w:rsidR="001029A9" w:rsidRDefault="001029A9">
      <w:r>
        <w:t>• Vine, W.E. Vine's Expository Dictionary of New Testament Words. Nashville: Thomas Nelson, 1996.</w:t>
      </w:r>
    </w:p>
    <w:p w14:paraId="69FAC281" w14:textId="4FF694BA" w:rsidR="004C5552" w:rsidRDefault="001029A9">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A9"/>
    <w:rsid w:val="00017747"/>
    <w:rsid w:val="00023A4A"/>
    <w:rsid w:val="0006763F"/>
    <w:rsid w:val="000C53AC"/>
    <w:rsid w:val="001029A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D7B"/>
  <w15:chartTrackingRefBased/>
  <w15:docId w15:val="{93BCFADB-9B50-4DE4-8A91-A223F927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2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2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9A9"/>
    <w:rPr>
      <w:rFonts w:eastAsiaTheme="majorEastAsia" w:cstheme="majorBidi"/>
      <w:color w:val="272727" w:themeColor="text1" w:themeTint="D8"/>
    </w:rPr>
  </w:style>
  <w:style w:type="paragraph" w:styleId="Title">
    <w:name w:val="Title"/>
    <w:basedOn w:val="Normal"/>
    <w:next w:val="Normal"/>
    <w:link w:val="TitleChar"/>
    <w:uiPriority w:val="10"/>
    <w:qFormat/>
    <w:rsid w:val="00102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9A9"/>
    <w:pPr>
      <w:spacing w:before="160"/>
      <w:jc w:val="center"/>
    </w:pPr>
    <w:rPr>
      <w:i/>
      <w:iCs/>
      <w:color w:val="404040" w:themeColor="text1" w:themeTint="BF"/>
    </w:rPr>
  </w:style>
  <w:style w:type="character" w:customStyle="1" w:styleId="QuoteChar">
    <w:name w:val="Quote Char"/>
    <w:basedOn w:val="DefaultParagraphFont"/>
    <w:link w:val="Quote"/>
    <w:uiPriority w:val="29"/>
    <w:rsid w:val="001029A9"/>
    <w:rPr>
      <w:i/>
      <w:iCs/>
      <w:color w:val="404040" w:themeColor="text1" w:themeTint="BF"/>
    </w:rPr>
  </w:style>
  <w:style w:type="paragraph" w:styleId="ListParagraph">
    <w:name w:val="List Paragraph"/>
    <w:basedOn w:val="Normal"/>
    <w:uiPriority w:val="34"/>
    <w:qFormat/>
    <w:rsid w:val="001029A9"/>
    <w:pPr>
      <w:ind w:left="720"/>
      <w:contextualSpacing/>
    </w:pPr>
  </w:style>
  <w:style w:type="character" w:styleId="IntenseEmphasis">
    <w:name w:val="Intense Emphasis"/>
    <w:basedOn w:val="DefaultParagraphFont"/>
    <w:uiPriority w:val="21"/>
    <w:qFormat/>
    <w:rsid w:val="001029A9"/>
    <w:rPr>
      <w:i/>
      <w:iCs/>
      <w:color w:val="2E74B5" w:themeColor="accent1" w:themeShade="BF"/>
    </w:rPr>
  </w:style>
  <w:style w:type="paragraph" w:styleId="IntenseQuote">
    <w:name w:val="Intense Quote"/>
    <w:basedOn w:val="Normal"/>
    <w:next w:val="Normal"/>
    <w:link w:val="IntenseQuoteChar"/>
    <w:uiPriority w:val="30"/>
    <w:qFormat/>
    <w:rsid w:val="001029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29A9"/>
    <w:rPr>
      <w:i/>
      <w:iCs/>
      <w:color w:val="2E74B5" w:themeColor="accent1" w:themeShade="BF"/>
    </w:rPr>
  </w:style>
  <w:style w:type="character" w:styleId="IntenseReference">
    <w:name w:val="Intense Reference"/>
    <w:basedOn w:val="DefaultParagraphFont"/>
    <w:uiPriority w:val="32"/>
    <w:qFormat/>
    <w:rsid w:val="001029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