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7877" w14:textId="77777777" w:rsidR="00586A67" w:rsidRPr="00586A67" w:rsidRDefault="00586A67">
      <w:pPr>
        <w:rPr>
          <w:b/>
        </w:rPr>
      </w:pPr>
      <w:r w:rsidRPr="00586A67">
        <w:rPr>
          <w:b/>
        </w:rPr>
        <w:t>HAND - (yad, Strong's H3027)</w:t>
      </w:r>
    </w:p>
    <w:p w14:paraId="7B1AD723" w14:textId="77777777" w:rsidR="00586A67" w:rsidRDefault="00586A67">
      <w:r w:rsidRPr="00586A67">
        <w:rPr>
          <w:b/>
        </w:rPr>
        <w:t>Summary:</w:t>
      </w:r>
    </w:p>
    <w:p w14:paraId="0F133C6D" w14:textId="77777777" w:rsidR="00586A67" w:rsidRDefault="00586A67">
      <w:r>
        <w:t>The Hebrew word yad fundamentally refers to the physical hand but frequently serves as a powerful metaphor for power, authority, agency, or action. In Exodus 24:11, it is used anthropomorphically of God's "hand," representing His active, destructive judgment. In a stunning display of grace, God does not lay His hand of execution upon the leaders of Israel, allowing them to behold His glory and yet live, eat, and drink in His presence on the mountain.</w:t>
      </w:r>
    </w:p>
    <w:p w14:paraId="0F586299" w14:textId="77777777" w:rsidR="00586A67" w:rsidRDefault="00586A67"/>
    <w:p w14:paraId="2C4678E1" w14:textId="77777777" w:rsidR="00586A67" w:rsidRDefault="00586A67">
      <w:r w:rsidRPr="00586A67">
        <w:rPr>
          <w:b/>
        </w:rPr>
        <w:t>Full Study:</w:t>
      </w:r>
    </w:p>
    <w:p w14:paraId="3657A640" w14:textId="77777777" w:rsidR="00586A67" w:rsidRDefault="00586A67"/>
    <w:p w14:paraId="5AFD055C" w14:textId="77777777" w:rsidR="00586A67" w:rsidRPr="00586A67" w:rsidRDefault="00586A67">
      <w:pPr>
        <w:rPr>
          <w:b/>
        </w:rPr>
      </w:pPr>
      <w:r w:rsidRPr="00586A67">
        <w:rPr>
          <w:b/>
        </w:rPr>
        <w:t xml:space="preserve"> 1. Word Picture / Background</w:t>
      </w:r>
    </w:p>
    <w:p w14:paraId="257D898A" w14:textId="77777777" w:rsidR="00586A67" w:rsidRDefault="00586A67">
      <w:r>
        <w:t xml:space="preserve">The physical hand is the primary tool for human labor, communication, strength, and intervention. In ancient Semitic culture, the hand symbolized a person's agency, control, and capability. To do something "by the hand of" someone was to do it through their agency. Historically, the idiom "to stretch out" or "to lay a hand" (shalach yad) on someone carried a vivid word picture of reaching out to strike, seize, or harm. It represents an active intrusion into another person's sphere of existence, usually with hostile intent. </w:t>
      </w:r>
    </w:p>
    <w:p w14:paraId="3FFB395C" w14:textId="77777777" w:rsidR="00586A67" w:rsidRDefault="00586A67"/>
    <w:p w14:paraId="255EC799" w14:textId="77777777" w:rsidR="00586A67" w:rsidRPr="00586A67" w:rsidRDefault="00586A67">
      <w:pPr>
        <w:rPr>
          <w:b/>
        </w:rPr>
      </w:pPr>
      <w:r w:rsidRPr="00586A67">
        <w:rPr>
          <w:b/>
        </w:rPr>
        <w:t xml:space="preserve"> 2. Meaning / Lexical Definition</w:t>
      </w:r>
    </w:p>
    <w:p w14:paraId="3E6415D2" w14:textId="77777777" w:rsidR="00586A67" w:rsidRDefault="00586A67">
      <w:r>
        <w:t>• Yad denotes the literal hand (from the wrist to the fingers) of a human, or anthropomorphically of God or an angel. Beyond the literal anatomy, it carries a broad semantic range:</w:t>
      </w:r>
    </w:p>
    <w:p w14:paraId="19DD259E" w14:textId="77777777" w:rsidR="00586A67" w:rsidRDefault="00586A67">
      <w:r>
        <w:t>• Power and Strength: Hand is synonymous with power, custody, or dominion (e.g., being delivered "into the hand" of an enemy).</w:t>
      </w:r>
    </w:p>
    <w:p w14:paraId="102FFB28" w14:textId="77777777" w:rsidR="00586A67" w:rsidRDefault="00586A67">
      <w:r>
        <w:t>• Agency and Means: Action performed through someone's instrument (e.g., "by the hand of Moses").</w:t>
      </w:r>
    </w:p>
    <w:p w14:paraId="0DE0DC7F" w14:textId="77777777" w:rsidR="00586A67" w:rsidRDefault="00586A67">
      <w:r>
        <w:t>• Monument or Marker: A physical signpost or memorial (literally "a hand," as in 1 Samuel 15:12).</w:t>
      </w:r>
    </w:p>
    <w:p w14:paraId="372C864B" w14:textId="77777777" w:rsidR="00586A67" w:rsidRDefault="00586A67">
      <w:r>
        <w:t>In the specific phrase "lay His hand" (shalach yado) in Exodus 24:11, the verb shalach (to send or stretch out) combined with yad means to strike, punish, or inflict lethal force.</w:t>
      </w:r>
    </w:p>
    <w:p w14:paraId="31E6E59D" w14:textId="77777777" w:rsidR="00586A67" w:rsidRDefault="00586A67"/>
    <w:p w14:paraId="5AF23339" w14:textId="77777777" w:rsidR="00586A67" w:rsidRPr="00586A67" w:rsidRDefault="00586A67">
      <w:pPr>
        <w:rPr>
          <w:b/>
        </w:rPr>
      </w:pPr>
      <w:r w:rsidRPr="00586A67">
        <w:rPr>
          <w:b/>
        </w:rPr>
        <w:t xml:space="preserve"> 3. Usage and Word Pictures</w:t>
      </w:r>
    </w:p>
    <w:p w14:paraId="64C0F4D3" w14:textId="77777777" w:rsidR="00586A67" w:rsidRDefault="00586A67">
      <w:r>
        <w:t xml:space="preserve">Scripture frequently uses the "hand of God" to depict His sovereign intervention in human history. </w:t>
      </w:r>
    </w:p>
    <w:p w14:paraId="3C8A4B5C" w14:textId="77777777" w:rsidR="00586A67" w:rsidRDefault="00586A67">
      <w:r>
        <w:t>• The Hand of Deliverance: God brought Israel out of Egypt with a "mighty hand" (Exodus 13:3), showing His superior, redeeming power over Pharaoh.</w:t>
      </w:r>
    </w:p>
    <w:p w14:paraId="7C2C9590" w14:textId="77777777" w:rsidR="00586A67" w:rsidRDefault="00586A67">
      <w:r>
        <w:t>• The Hand of Judgment: When God's hand is heavy upon a people, it indicates divine displeasure and active punishment (1 Samuel 5:6).</w:t>
      </w:r>
    </w:p>
    <w:p w14:paraId="0E74963C" w14:textId="77777777" w:rsidR="00586A67" w:rsidRDefault="00586A67">
      <w:r>
        <w:t>• The Hand of Protection: Conversely, to be held in God's hand or to have His hand upon someone represents His favor, guidance, and safety (Ezra 7:9).</w:t>
      </w:r>
    </w:p>
    <w:p w14:paraId="03E4BB4F" w14:textId="77777777" w:rsidR="00586A67" w:rsidRDefault="00586A67">
      <w:r>
        <w:t>In Exodus 24:11, the negative formulation—"He did not lay His hand"—presents a powerful picture of divine restraint. God’s hand of lethal holiness remained stayed.</w:t>
      </w:r>
    </w:p>
    <w:p w14:paraId="07C0D4CD" w14:textId="77777777" w:rsidR="00586A67" w:rsidRDefault="00586A67"/>
    <w:p w14:paraId="0B4D88BF" w14:textId="77777777" w:rsidR="00586A67" w:rsidRPr="00586A67" w:rsidRDefault="00586A67">
      <w:pPr>
        <w:rPr>
          <w:b/>
        </w:rPr>
      </w:pPr>
      <w:r w:rsidRPr="00586A67">
        <w:rPr>
          <w:b/>
        </w:rPr>
        <w:t xml:space="preserve"> 4. Theological Implications</w:t>
      </w:r>
    </w:p>
    <w:p w14:paraId="1F40987B" w14:textId="77777777" w:rsidR="00586A67" w:rsidRDefault="00586A67">
      <w:r>
        <w:t xml:space="preserve">The narrative of Exodus 24 represents the formal ratification of the Mosaic Covenant. After the sprinkling of the covenant blood (v. 8), Moses, Aaron, Nadab, Abihu, and seventy elders ascend Mount Sinai. There, they receive an unprecedented vision of the God of Israel. </w:t>
      </w:r>
    </w:p>
    <w:p w14:paraId="3FA49D26" w14:textId="77777777" w:rsidR="00586A67" w:rsidRDefault="00586A67">
      <w:r>
        <w:t>Under normal theological boundaries in the Old Testament, a direct encounter with the holy presence of God is fatal to sinful humanity (Exodus 33:20; Judges 13:22). Justice dictates that God’s holy hand should strike down those who intrude upon His sacred space. However, because the covenant had been established and sealed with blood, a new relational dynamic was created. The theological truth here is immense: covenant blood satisfies the demands of holiness, transforming God's potentially destructive hand of judgment into a hand of peace and fellowship.</w:t>
      </w:r>
    </w:p>
    <w:p w14:paraId="53CC19B3" w14:textId="77777777" w:rsidR="00586A67" w:rsidRDefault="00586A67"/>
    <w:p w14:paraId="7EF09B01" w14:textId="77777777" w:rsidR="00586A67" w:rsidRPr="00586A67" w:rsidRDefault="00586A67">
      <w:pPr>
        <w:rPr>
          <w:b/>
        </w:rPr>
      </w:pPr>
      <w:r w:rsidRPr="00586A67">
        <w:rPr>
          <w:b/>
        </w:rPr>
        <w:t xml:space="preserve"> 5. Contextual Nuance in the Passage</w:t>
      </w:r>
    </w:p>
    <w:p w14:paraId="1A8EE3B4" w14:textId="77777777" w:rsidR="00586A67" w:rsidRDefault="00586A67">
      <w:r>
        <w:t>In Exodus 24:11, the writer notes that "on the nobles of the children of Israel He did not lay His hand." The "nobles" represents the designated leaders of the community. In this specific context, the phrase functions as a contrast to the expected outcome. One would expect that standing on the holy mountain, looking at the pavework of sapphire stone under the feet of God, would result in immediate death. Instead of experiencing the striking hand of God, they "saw God, and they ate and drank." The restraint of God's hand turned a moment of potential terror into a covenant feast, foreshadowing the ultimate peace believers have with God.</w:t>
      </w:r>
    </w:p>
    <w:p w14:paraId="126DBBBC" w14:textId="77777777" w:rsidR="00586A67" w:rsidRDefault="00586A67"/>
    <w:p w14:paraId="4E0126E7" w14:textId="77777777" w:rsidR="00586A67" w:rsidRPr="00586A67" w:rsidRDefault="00586A67">
      <w:pPr>
        <w:rPr>
          <w:b/>
        </w:rPr>
      </w:pPr>
      <w:r w:rsidRPr="00586A67">
        <w:rPr>
          <w:b/>
        </w:rPr>
        <w:t xml:space="preserve"> 6. Key Uses in Other Verses (NKJV)</w:t>
      </w:r>
    </w:p>
    <w:p w14:paraId="7C8AACAB" w14:textId="77777777" w:rsidR="00586A67" w:rsidRDefault="00586A67">
      <w:r>
        <w:t>• Genesis 37:22 - "Shed no blood, but cast him into this pit which is in the wilderness, and lay no hand on him..." (Using yad in the identical idiomatic sense of doing physical harm).</w:t>
      </w:r>
    </w:p>
    <w:p w14:paraId="72296264" w14:textId="77777777" w:rsidR="00586A67" w:rsidRDefault="00586A67">
      <w:r>
        <w:t>• Exodus 13:3 - "Remember this day in which you went out of Egypt, out of the house of bondage; for by strength of hand the LORD brought you out of this place."</w:t>
      </w:r>
    </w:p>
    <w:p w14:paraId="669D72FB" w14:textId="77777777" w:rsidR="00586A67" w:rsidRDefault="00586A67">
      <w:r>
        <w:t>• Job 1:12 - "And the LORD said to Satan, 'Behold, all that he has is in your power; only do not lay your hand on his person.'"</w:t>
      </w:r>
    </w:p>
    <w:p w14:paraId="0EACF8D4" w14:textId="77777777" w:rsidR="00586A67" w:rsidRDefault="00586A67">
      <w:r>
        <w:t>• Psalm 139:5 - "You have hedged me behind and before, and laid Your hand upon me." (A contrasting use of yad denoting tender protection and inescapable presence).</w:t>
      </w:r>
    </w:p>
    <w:p w14:paraId="58ACD906" w14:textId="77777777" w:rsidR="00586A67" w:rsidRDefault="00586A67"/>
    <w:p w14:paraId="20CD4092" w14:textId="77777777" w:rsidR="00586A67" w:rsidRPr="00586A67" w:rsidRDefault="00586A67">
      <w:pPr>
        <w:rPr>
          <w:b/>
        </w:rPr>
      </w:pPr>
      <w:r w:rsidRPr="00586A67">
        <w:rPr>
          <w:b/>
        </w:rPr>
        <w:t xml:space="preserve"> 7. Other Relevant Insights</w:t>
      </w:r>
    </w:p>
    <w:p w14:paraId="4AE83843" w14:textId="77777777" w:rsidR="00586A67" w:rsidRDefault="00586A67">
      <w:r>
        <w:t>This passage serves as a beautiful Old Testament type of the New Covenant. The elders on the mountain enjoyed table fellowship with God because of the blood of the covenant. Today, believers have access to the presence of God without fearing His striking hand because the hand of divine judgment was instead laid upon Jesus Christ at the cross. Because God did not spare His own Son, His hand of wrath is turned away from us, and we are invited to eat and drink in His presence at the Lord's Table and, ultimately, at the marriage supper of the Lamb.</w:t>
      </w:r>
    </w:p>
    <w:p w14:paraId="60DA4E8A" w14:textId="77777777" w:rsidR="00586A67" w:rsidRDefault="00586A67"/>
    <w:p w14:paraId="59E5E570" w14:textId="77777777" w:rsidR="00586A67" w:rsidRPr="00586A67" w:rsidRDefault="00586A67">
      <w:pPr>
        <w:rPr>
          <w:b/>
        </w:rPr>
      </w:pPr>
      <w:r w:rsidRPr="00586A67">
        <w:rPr>
          <w:b/>
        </w:rPr>
        <w:t xml:space="preserve"> 8. References</w:t>
      </w:r>
    </w:p>
    <w:p w14:paraId="3B10BA38" w14:textId="77777777" w:rsidR="00586A67" w:rsidRDefault="00586A67">
      <w:r>
        <w:t>• Brown, Francis, S.R. Driver, and Charles A. Briggs. Enhanced Brown-Driver-Briggs Hebrew and English Lexicon.</w:t>
      </w:r>
    </w:p>
    <w:p w14:paraId="187C0C5C" w14:textId="77777777" w:rsidR="00586A67" w:rsidRDefault="00586A67">
      <w:r>
        <w:t>• Harris, R. Laird, Gleason L. Archer Jr., and Bruce K. Waltke. Theological Wordbook of the Old Testament.</w:t>
      </w:r>
    </w:p>
    <w:p w14:paraId="0507B42E" w14:textId="77777777" w:rsidR="00586A67" w:rsidRDefault="00586A67">
      <w:r>
        <w:t>• Koehler, Ludwig, Walter Baumgartner, and M.E.J. Richardson. The Hebrew and Aramaic Lexicon of the Old Testament.</w:t>
      </w:r>
    </w:p>
    <w:p w14:paraId="509387F8" w14:textId="1397FD3D" w:rsidR="004C5552" w:rsidRDefault="00586A67">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A6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86A67"/>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3631"/>
  <w15:chartTrackingRefBased/>
  <w15:docId w15:val="{C1AF0A0D-DD33-47E6-9D01-B41327BD5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6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6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A67"/>
    <w:rPr>
      <w:rFonts w:eastAsiaTheme="majorEastAsia" w:cstheme="majorBidi"/>
      <w:color w:val="272727" w:themeColor="text1" w:themeTint="D8"/>
    </w:rPr>
  </w:style>
  <w:style w:type="paragraph" w:styleId="Title">
    <w:name w:val="Title"/>
    <w:basedOn w:val="Normal"/>
    <w:next w:val="Normal"/>
    <w:link w:val="TitleChar"/>
    <w:uiPriority w:val="10"/>
    <w:qFormat/>
    <w:rsid w:val="00586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A67"/>
    <w:pPr>
      <w:spacing w:before="160"/>
      <w:jc w:val="center"/>
    </w:pPr>
    <w:rPr>
      <w:i/>
      <w:iCs/>
      <w:color w:val="404040" w:themeColor="text1" w:themeTint="BF"/>
    </w:rPr>
  </w:style>
  <w:style w:type="character" w:customStyle="1" w:styleId="QuoteChar">
    <w:name w:val="Quote Char"/>
    <w:basedOn w:val="DefaultParagraphFont"/>
    <w:link w:val="Quote"/>
    <w:uiPriority w:val="29"/>
    <w:rsid w:val="00586A67"/>
    <w:rPr>
      <w:i/>
      <w:iCs/>
      <w:color w:val="404040" w:themeColor="text1" w:themeTint="BF"/>
    </w:rPr>
  </w:style>
  <w:style w:type="paragraph" w:styleId="ListParagraph">
    <w:name w:val="List Paragraph"/>
    <w:basedOn w:val="Normal"/>
    <w:uiPriority w:val="34"/>
    <w:qFormat/>
    <w:rsid w:val="00586A67"/>
    <w:pPr>
      <w:ind w:left="720"/>
      <w:contextualSpacing/>
    </w:pPr>
  </w:style>
  <w:style w:type="character" w:styleId="IntenseEmphasis">
    <w:name w:val="Intense Emphasis"/>
    <w:basedOn w:val="DefaultParagraphFont"/>
    <w:uiPriority w:val="21"/>
    <w:qFormat/>
    <w:rsid w:val="00586A67"/>
    <w:rPr>
      <w:i/>
      <w:iCs/>
      <w:color w:val="2E74B5" w:themeColor="accent1" w:themeShade="BF"/>
    </w:rPr>
  </w:style>
  <w:style w:type="paragraph" w:styleId="IntenseQuote">
    <w:name w:val="Intense Quote"/>
    <w:basedOn w:val="Normal"/>
    <w:next w:val="Normal"/>
    <w:link w:val="IntenseQuoteChar"/>
    <w:uiPriority w:val="30"/>
    <w:qFormat/>
    <w:rsid w:val="00586A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6A67"/>
    <w:rPr>
      <w:i/>
      <w:iCs/>
      <w:color w:val="2E74B5" w:themeColor="accent1" w:themeShade="BF"/>
    </w:rPr>
  </w:style>
  <w:style w:type="character" w:styleId="IntenseReference">
    <w:name w:val="Intense Reference"/>
    <w:basedOn w:val="DefaultParagraphFont"/>
    <w:uiPriority w:val="32"/>
    <w:qFormat/>
    <w:rsid w:val="00586A6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