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2C51" w14:textId="77777777" w:rsidR="00CD076A" w:rsidRPr="00CD076A" w:rsidRDefault="00CD076A">
      <w:pPr>
        <w:rPr>
          <w:b/>
        </w:rPr>
      </w:pPr>
      <w:r w:rsidRPr="00CD076A">
        <w:rPr>
          <w:b/>
        </w:rPr>
        <w:t>PILLARS - ( matstsebah , Strong's H4676 )</w:t>
      </w:r>
    </w:p>
    <w:p w14:paraId="7AEB6D07" w14:textId="77777777" w:rsidR="00CD076A" w:rsidRDefault="00CD076A">
      <w:r w:rsidRPr="00CD076A">
        <w:rPr>
          <w:b/>
        </w:rPr>
        <w:t>Summary:</w:t>
      </w:r>
    </w:p>
    <w:p w14:paraId="6FC1FB5C" w14:textId="77777777" w:rsidR="00CD076A" w:rsidRDefault="00CD076A">
      <w:r>
        <w:t>The Hebrew word matstsebah refers to a standing stone, monument, or memorial pillar set up to mark a significant event, boundary, covenant, or grave. In Exodus 24:4, Moses erects twelve of these pillars at the foot of Mount Sinai, alongside a single altar. Rather than serving as architectural supports, these pillars function as enduring, silent legal witnesses to the covenant established between Yahweh and the twelve tribes of Israel. They represent the active presence and commitment of the entire nation of Israel as they bind themselves to God’s law.</w:t>
      </w:r>
    </w:p>
    <w:p w14:paraId="28E57D5A" w14:textId="77777777" w:rsidR="00CD076A" w:rsidRDefault="00CD076A"/>
    <w:p w14:paraId="2836C4B8" w14:textId="77777777" w:rsidR="00CD076A" w:rsidRDefault="00CD076A">
      <w:r w:rsidRPr="00CD076A">
        <w:rPr>
          <w:b/>
        </w:rPr>
        <w:t>Full Study:</w:t>
      </w:r>
    </w:p>
    <w:p w14:paraId="35C8F44D" w14:textId="77777777" w:rsidR="00CD076A" w:rsidRDefault="00CD076A"/>
    <w:p w14:paraId="31D128D3" w14:textId="77777777" w:rsidR="00CD076A" w:rsidRPr="00CD076A" w:rsidRDefault="00CD076A">
      <w:pPr>
        <w:rPr>
          <w:b/>
        </w:rPr>
      </w:pPr>
      <w:r w:rsidRPr="00CD076A">
        <w:rPr>
          <w:b/>
        </w:rPr>
        <w:t xml:space="preserve"> 1. Word Picture / Background</w:t>
      </w:r>
    </w:p>
    <w:p w14:paraId="7DD9324D" w14:textId="77777777" w:rsidR="00CD076A" w:rsidRDefault="00CD076A">
      <w:r>
        <w:t xml:space="preserve">The noun matstsebah is derived from the root verb nasab, which means "to stand," "to station," or "to establish." A matstsebah is literally a "standing thing"—specifically a large, unhewn stone set upright in the ground. </w:t>
      </w:r>
    </w:p>
    <w:p w14:paraId="0EFD3352" w14:textId="77777777" w:rsidR="00CD076A" w:rsidRDefault="00CD076A"/>
    <w:p w14:paraId="6C323395" w14:textId="77777777" w:rsidR="00CD076A" w:rsidRDefault="00CD076A">
      <w:r>
        <w:t>In the Ancient Near East, standing stones were common cultural landmarks. They served several distinct purposes:</w:t>
      </w:r>
    </w:p>
    <w:p w14:paraId="6B05B436" w14:textId="77777777" w:rsidR="00CD076A" w:rsidRDefault="00CD076A">
      <w:r>
        <w:t>• Memorials: Marking the burial site of a prominent person.</w:t>
      </w:r>
    </w:p>
    <w:p w14:paraId="1C47BCEB" w14:textId="77777777" w:rsidR="00CD076A" w:rsidRDefault="00CD076A">
      <w:r>
        <w:t>• Boundary Markers: Defining territories between different families or nations.</w:t>
      </w:r>
    </w:p>
    <w:p w14:paraId="08B1BA83" w14:textId="77777777" w:rsidR="00CD076A" w:rsidRDefault="00CD076A">
      <w:r>
        <w:t>• Covenant Witnesses: Standing as physical, permanent testimonies to legal treaties.</w:t>
      </w:r>
    </w:p>
    <w:p w14:paraId="12527E07" w14:textId="77777777" w:rsidR="00CD076A" w:rsidRDefault="00CD076A">
      <w:r>
        <w:t>• Cultic Symbols: Representing the presence of a deity in worship spaces.</w:t>
      </w:r>
    </w:p>
    <w:p w14:paraId="493F927C" w14:textId="77777777" w:rsidR="00CD076A" w:rsidRDefault="00CD076A"/>
    <w:p w14:paraId="7D5CDF43" w14:textId="77777777" w:rsidR="00CD076A" w:rsidRDefault="00CD076A">
      <w:r>
        <w:t>By erecting these stones, individuals anchored a historical moment into a physical location, ensuring that future generations would look upon the stone and remember the transaction or event that occurred there.</w:t>
      </w:r>
    </w:p>
    <w:p w14:paraId="3A62A3A9" w14:textId="77777777" w:rsidR="00CD076A" w:rsidRDefault="00CD076A"/>
    <w:p w14:paraId="2552EDF0" w14:textId="77777777" w:rsidR="00CD076A" w:rsidRPr="00CD076A" w:rsidRDefault="00CD076A">
      <w:pPr>
        <w:rPr>
          <w:b/>
        </w:rPr>
      </w:pPr>
      <w:r w:rsidRPr="00CD076A">
        <w:rPr>
          <w:b/>
        </w:rPr>
        <w:t xml:space="preserve"> 2. Meaning / Lexical Definition</w:t>
      </w:r>
    </w:p>
    <w:p w14:paraId="5318C31C" w14:textId="77777777" w:rsidR="00CD076A" w:rsidRDefault="00CD076A">
      <w:r>
        <w:t xml:space="preserve">A matstsebah is a memorial stone, standing pillar, or monument. It is distinct from structural columns (often designated by the Hebrew word ammud) that support the physical roof of a temple or palace. Instead, a matstsebah is a free-standing monument. </w:t>
      </w:r>
    </w:p>
    <w:p w14:paraId="7F37702D" w14:textId="77777777" w:rsidR="00CD076A" w:rsidRDefault="00CD076A"/>
    <w:p w14:paraId="2E19A643" w14:textId="77777777" w:rsidR="00CD076A" w:rsidRDefault="00CD076A">
      <w:r>
        <w:t>In a positive or neutral biblical context, it refers to a monument set up to honor the true God or to mark a sacred covenant. In a negative context—which becomes highly prominent later in Israel’s history—the word refers to the forbidden pagan standing stones (often translated as "sacred pillars") erected by the Canaanites to represent their male deities, such as Baal.</w:t>
      </w:r>
    </w:p>
    <w:p w14:paraId="5141BF29" w14:textId="77777777" w:rsidR="00CD076A" w:rsidRDefault="00CD076A"/>
    <w:p w14:paraId="1D95963E" w14:textId="77777777" w:rsidR="00CD076A" w:rsidRPr="00CD076A" w:rsidRDefault="00CD076A">
      <w:pPr>
        <w:rPr>
          <w:b/>
        </w:rPr>
      </w:pPr>
      <w:r w:rsidRPr="00CD076A">
        <w:rPr>
          <w:b/>
        </w:rPr>
        <w:t xml:space="preserve"> 3. Usage and Word Pictures</w:t>
      </w:r>
    </w:p>
    <w:p w14:paraId="4CB1FDDB" w14:textId="77777777" w:rsidR="00CD076A" w:rsidRDefault="00CD076A">
      <w:r>
        <w:t xml:space="preserve">The physical nature of the standing stone conveys permanence, unshakeability, and public visibility. </w:t>
      </w:r>
    </w:p>
    <w:p w14:paraId="29000BFE" w14:textId="77777777" w:rsidR="00CD076A" w:rsidRDefault="00CD076A">
      <w:r>
        <w:t>• Patriarchal Altars and Memorials: Jacob is the primary user of the matstsebah in Genesis. After his dream of the ladder to heaven, he sets up the stone he slept on as a matstsebah at Bethel, pouring oil on it to consecrate the site as God's house (Genesis 28:18). He later erects one to seal his covenant with Laban (Genesis 31:45) and another to mark Rachel’s grave (Genesis 35:20).</w:t>
      </w:r>
    </w:p>
    <w:p w14:paraId="718E92B1" w14:textId="77777777" w:rsidR="00CD076A" w:rsidRDefault="00CD076A">
      <w:r>
        <w:t>• Silent Legal Witnesses: Because stones do not rot, burn, or blow away, they serve as the ultimate ancient "notaries." They stand watch over the site of an agreement. If either party breaks the covenant, the stones stand as a visual accusation of their infidelity.</w:t>
      </w:r>
    </w:p>
    <w:p w14:paraId="66F33FB3" w14:textId="77777777" w:rsidR="00CD076A" w:rsidRDefault="00CD076A">
      <w:r>
        <w:t>• Pagan Corruption: In Canaanite cultic practices, these pillars were placed near altars and Asherah poles. They became highly charged symbols of pagan idolatry. Consequently, God commanded Israel to smash and demolish them upon entering the Promised Land.</w:t>
      </w:r>
    </w:p>
    <w:p w14:paraId="4D1F89F3" w14:textId="77777777" w:rsidR="00CD076A" w:rsidRDefault="00CD076A"/>
    <w:p w14:paraId="5AFBFE4A" w14:textId="77777777" w:rsidR="00CD076A" w:rsidRPr="00CD076A" w:rsidRDefault="00CD076A">
      <w:pPr>
        <w:rPr>
          <w:b/>
        </w:rPr>
      </w:pPr>
      <w:r w:rsidRPr="00CD076A">
        <w:rPr>
          <w:b/>
        </w:rPr>
        <w:t xml:space="preserve"> 4. Theological Implications</w:t>
      </w:r>
    </w:p>
    <w:p w14:paraId="5E9A409C" w14:textId="77777777" w:rsidR="00CD076A" w:rsidRDefault="00CD076A">
      <w:r>
        <w:t>The presence of the twelve pillars in Exodus 24:4 carries profound covenantal theology:</w:t>
      </w:r>
    </w:p>
    <w:p w14:paraId="2C2A913D" w14:textId="77777777" w:rsidR="00CD076A" w:rsidRDefault="00CD076A">
      <w:r>
        <w:t>• Corporate Representation: God does not enter into a covenant with a vague, disorganized crowd, but with a specific, structured community. The twelve pillars represent the twelve distinct tribes of Israel. Every tribe has its own stone; every segment of the nation is represented before God.</w:t>
      </w:r>
    </w:p>
    <w:p w14:paraId="77B5CEC6" w14:textId="77777777" w:rsidR="00CD076A" w:rsidRDefault="00CD076A">
      <w:r>
        <w:t>• Bilateral Commitment: The covenant ceremony includes one altar (representing God) and twelve pillars (representing the people). The blood of the covenant is sprinkled both on the altar and on the people (or their representative pillars), showing a mutual, binding commitment.</w:t>
      </w:r>
    </w:p>
    <w:p w14:paraId="1B637242" w14:textId="77777777" w:rsidR="00CD076A" w:rsidRDefault="00CD076A">
      <w:r>
        <w:t>• The Durability of God's Word: The stones represent the enduring nature of the vows made that day. Human memory fades and human resolve falters, but the standing stones remain as a permanent testimony to the day Israel said, "All that the LORD has said we will do."</w:t>
      </w:r>
    </w:p>
    <w:p w14:paraId="495735A7" w14:textId="77777777" w:rsidR="00CD076A" w:rsidRDefault="00CD076A"/>
    <w:p w14:paraId="1C34AD73" w14:textId="77777777" w:rsidR="00CD076A" w:rsidRPr="00CD076A" w:rsidRDefault="00CD076A">
      <w:pPr>
        <w:rPr>
          <w:b/>
        </w:rPr>
      </w:pPr>
      <w:r w:rsidRPr="00CD076A">
        <w:rPr>
          <w:b/>
        </w:rPr>
        <w:t xml:space="preserve"> 5. Contextual Nuance in the Passage</w:t>
      </w:r>
    </w:p>
    <w:p w14:paraId="31B60D03" w14:textId="77777777" w:rsidR="00CD076A" w:rsidRDefault="00CD076A">
      <w:r>
        <w:t xml:space="preserve">In Exodus 24:4, the context is the formal ratification of the Mosaic Covenant. Moses writes down the words of the Lord, builds an altar at the foot of Mount Sinai, and sets up the twelve pillars. </w:t>
      </w:r>
    </w:p>
    <w:p w14:paraId="07D10FED" w14:textId="77777777" w:rsidR="00CD076A" w:rsidRDefault="00CD076A"/>
    <w:p w14:paraId="57D4CC61" w14:textId="77777777" w:rsidR="00CD076A" w:rsidRDefault="00CD076A">
      <w:r>
        <w:t>It is vital to note that these pillars are erected according to the twelve tribes of Israel. They are not objects of worship, nor are they intended to represent God. Using standing stones to represent God is strictly forbidden. Instead, they represent the human partners in the covenant. Placed at the base of the mountain where God descended in fire, these twelve stones stand in the presence of the Lord's altar, symbolizing the tribes' continuous presentation of themselves before God in obedience.</w:t>
      </w:r>
    </w:p>
    <w:p w14:paraId="490EB7D1" w14:textId="77777777" w:rsidR="00CD076A" w:rsidRDefault="00CD076A"/>
    <w:p w14:paraId="4C76F0E8" w14:textId="77777777" w:rsidR="00CD076A" w:rsidRPr="00CD076A" w:rsidRDefault="00CD076A">
      <w:pPr>
        <w:rPr>
          <w:b/>
        </w:rPr>
      </w:pPr>
      <w:r w:rsidRPr="00CD076A">
        <w:rPr>
          <w:b/>
        </w:rPr>
        <w:t xml:space="preserve"> 6. Key Uses in Other Verses (NKJV)</w:t>
      </w:r>
    </w:p>
    <w:p w14:paraId="779D7353" w14:textId="77777777" w:rsidR="00CD076A" w:rsidRDefault="00CD076A">
      <w:r>
        <w:t>• Genesis 28:18 - "Then Jacob rose early in the morning, and took the stone that he had put at his head, set it up as a pillar, and poured oil on top of it."</w:t>
      </w:r>
    </w:p>
    <w:p w14:paraId="18F88204" w14:textId="77777777" w:rsidR="00CD076A" w:rsidRDefault="00CD076A">
      <w:r>
        <w:t>• Genesis 31:45 - "So Jacob took a stone and set it up as a pillar."</w:t>
      </w:r>
    </w:p>
    <w:p w14:paraId="7B7EB1F2" w14:textId="77777777" w:rsidR="00CD076A" w:rsidRDefault="00CD076A">
      <w:r>
        <w:t>• Exodus 23:24 - "You shall not bow down to their gods, nor serve them, nor do according to their works; but you shall utterly overthrow them and completely break down their sacred pillars."</w:t>
      </w:r>
    </w:p>
    <w:p w14:paraId="45E98B01" w14:textId="77777777" w:rsidR="00CD076A" w:rsidRDefault="00CD076A">
      <w:r>
        <w:t>• Hosea 3:4 - "For the children of Israel shall abide many days without king or prince, without sacrifice or sacred pillar, without ephod or teraphim."</w:t>
      </w:r>
    </w:p>
    <w:p w14:paraId="62EFF25F" w14:textId="77777777" w:rsidR="00CD076A" w:rsidRDefault="00CD076A"/>
    <w:p w14:paraId="5B724C4C" w14:textId="77777777" w:rsidR="00CD076A" w:rsidRPr="00CD076A" w:rsidRDefault="00CD076A">
      <w:pPr>
        <w:rPr>
          <w:b/>
        </w:rPr>
      </w:pPr>
      <w:r w:rsidRPr="00CD076A">
        <w:rPr>
          <w:b/>
        </w:rPr>
        <w:t xml:space="preserve"> 7. Other Relevant Insights</w:t>
      </w:r>
    </w:p>
    <w:p w14:paraId="43984414" w14:textId="77777777" w:rsidR="00CD076A" w:rsidRDefault="00CD076A">
      <w:r>
        <w:t xml:space="preserve">There is a stark, cautionary contrast between Exodus 24:4 and later commands in the Torah. In Exodus 24, Moses sets up pillars with God's approval. However, by Deuteronomy 16:22, the Lord commands: "You shall not set up a sacred pillar, which the LORD your God hates." </w:t>
      </w:r>
    </w:p>
    <w:p w14:paraId="030F1361" w14:textId="77777777" w:rsidR="00CD076A" w:rsidRDefault="00CD076A"/>
    <w:p w14:paraId="6BFC08EC" w14:textId="77777777" w:rsidR="00CD076A" w:rsidRDefault="00CD076A">
      <w:r>
        <w:t>This shift highlights a profound spiritual danger: an object originally designed for a holy purpose (to remind people of God's covenant) can easily degrade into an object of idolatry and syncretism when influenced by worldly culture. What was once a monument to God's faithfulness can easily become an idol of self-will.</w:t>
      </w:r>
    </w:p>
    <w:p w14:paraId="7827CA4D" w14:textId="77777777" w:rsidR="00CD076A" w:rsidRDefault="00CD076A"/>
    <w:p w14:paraId="01165759" w14:textId="77777777" w:rsidR="00CD076A" w:rsidRPr="00CD076A" w:rsidRDefault="00CD076A">
      <w:pPr>
        <w:rPr>
          <w:b/>
        </w:rPr>
      </w:pPr>
      <w:r w:rsidRPr="00CD076A">
        <w:rPr>
          <w:b/>
        </w:rPr>
        <w:t xml:space="preserve"> 8. References</w:t>
      </w:r>
    </w:p>
    <w:p w14:paraId="12970C8E" w14:textId="77777777" w:rsidR="00CD076A" w:rsidRDefault="00CD076A">
      <w:r>
        <w:t>• Brown-Driver-Briggs Hebrew and English Lexicon</w:t>
      </w:r>
    </w:p>
    <w:p w14:paraId="160BE539" w14:textId="77777777" w:rsidR="00CD076A" w:rsidRDefault="00CD076A">
      <w:r>
        <w:t>• Theological Wordbook of the Old Testament</w:t>
      </w:r>
    </w:p>
    <w:p w14:paraId="0DA615E2" w14:textId="77777777" w:rsidR="00CD076A" w:rsidRDefault="00CD076A">
      <w:r>
        <w:t>• New International Dictionary of Old Testament Theology and Exegesis</w:t>
      </w:r>
    </w:p>
    <w:p w14:paraId="6760C812" w14:textId="77777777" w:rsidR="00CD076A" w:rsidRDefault="00CD076A">
      <w:r>
        <w:t>• Vine's Expository Dictionary of Old and New Testament Words</w:t>
      </w:r>
    </w:p>
    <w:p w14:paraId="15AC28B7" w14:textId="16C0ACCF" w:rsidR="004C5552" w:rsidRDefault="00CD076A">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7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076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268A"/>
  <w15:chartTrackingRefBased/>
  <w15:docId w15:val="{AD65FB59-5572-49EA-9BB1-5EDC119B8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76A"/>
    <w:rPr>
      <w:rFonts w:eastAsiaTheme="majorEastAsia" w:cstheme="majorBidi"/>
      <w:color w:val="272727" w:themeColor="text1" w:themeTint="D8"/>
    </w:rPr>
  </w:style>
  <w:style w:type="paragraph" w:styleId="Title">
    <w:name w:val="Title"/>
    <w:basedOn w:val="Normal"/>
    <w:next w:val="Normal"/>
    <w:link w:val="TitleChar"/>
    <w:uiPriority w:val="10"/>
    <w:qFormat/>
    <w:rsid w:val="00CD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76A"/>
    <w:pPr>
      <w:spacing w:before="160"/>
      <w:jc w:val="center"/>
    </w:pPr>
    <w:rPr>
      <w:i/>
      <w:iCs/>
      <w:color w:val="404040" w:themeColor="text1" w:themeTint="BF"/>
    </w:rPr>
  </w:style>
  <w:style w:type="character" w:customStyle="1" w:styleId="QuoteChar">
    <w:name w:val="Quote Char"/>
    <w:basedOn w:val="DefaultParagraphFont"/>
    <w:link w:val="Quote"/>
    <w:uiPriority w:val="29"/>
    <w:rsid w:val="00CD076A"/>
    <w:rPr>
      <w:i/>
      <w:iCs/>
      <w:color w:val="404040" w:themeColor="text1" w:themeTint="BF"/>
    </w:rPr>
  </w:style>
  <w:style w:type="paragraph" w:styleId="ListParagraph">
    <w:name w:val="List Paragraph"/>
    <w:basedOn w:val="Normal"/>
    <w:uiPriority w:val="34"/>
    <w:qFormat/>
    <w:rsid w:val="00CD076A"/>
    <w:pPr>
      <w:ind w:left="720"/>
      <w:contextualSpacing/>
    </w:pPr>
  </w:style>
  <w:style w:type="character" w:styleId="IntenseEmphasis">
    <w:name w:val="Intense Emphasis"/>
    <w:basedOn w:val="DefaultParagraphFont"/>
    <w:uiPriority w:val="21"/>
    <w:qFormat/>
    <w:rsid w:val="00CD076A"/>
    <w:rPr>
      <w:i/>
      <w:iCs/>
      <w:color w:val="2E74B5" w:themeColor="accent1" w:themeShade="BF"/>
    </w:rPr>
  </w:style>
  <w:style w:type="paragraph" w:styleId="IntenseQuote">
    <w:name w:val="Intense Quote"/>
    <w:basedOn w:val="Normal"/>
    <w:next w:val="Normal"/>
    <w:link w:val="IntenseQuoteChar"/>
    <w:uiPriority w:val="30"/>
    <w:qFormat/>
    <w:rsid w:val="00CD07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76A"/>
    <w:rPr>
      <w:i/>
      <w:iCs/>
      <w:color w:val="2E74B5" w:themeColor="accent1" w:themeShade="BF"/>
    </w:rPr>
  </w:style>
  <w:style w:type="character" w:styleId="IntenseReference">
    <w:name w:val="Intense Reference"/>
    <w:basedOn w:val="DefaultParagraphFont"/>
    <w:uiPriority w:val="32"/>
    <w:qFormat/>
    <w:rsid w:val="00CD07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