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DFE6" w14:textId="77777777" w:rsidR="007778BA" w:rsidRPr="007778BA" w:rsidRDefault="007778BA">
      <w:pPr>
        <w:rPr>
          <w:b/>
        </w:rPr>
      </w:pPr>
      <w:r w:rsidRPr="007778BA">
        <w:rPr>
          <w:b/>
        </w:rPr>
        <w:t>TESTIMONY - ( ‘ēdût , Strong's H5715 )</w:t>
      </w:r>
    </w:p>
    <w:p w14:paraId="598A785D" w14:textId="77777777" w:rsidR="007778BA" w:rsidRDefault="007778BA">
      <w:r w:rsidRPr="007778BA">
        <w:rPr>
          <w:b/>
        </w:rPr>
        <w:t>Summary:</w:t>
      </w:r>
    </w:p>
    <w:p w14:paraId="36A24296" w14:textId="77777777" w:rsidR="007778BA" w:rsidRDefault="007778BA">
      <w:r>
        <w:t>The Hebrew noun ‘ēdût refers to a solemn, binding declaration, warning, or witness, most notably manifested in the two stone tablets of the Ten Commandments. Derived from a root meaning to repeat, warn, or bear witness, the word points to the permanent, written standards of God’s covenant with Israel. In Exodus 25:16, "the Testimony" is the physical embodiment of God's law and character, which was to be placed inside the Ark of the Covenant, serving as a perpetual witness of the relationship between Yahweh and His people.</w:t>
      </w:r>
    </w:p>
    <w:p w14:paraId="1FE0AE95" w14:textId="77777777" w:rsidR="007778BA" w:rsidRDefault="007778BA"/>
    <w:p w14:paraId="68F3595C" w14:textId="77777777" w:rsidR="007778BA" w:rsidRDefault="007778BA">
      <w:r w:rsidRPr="007778BA">
        <w:rPr>
          <w:b/>
        </w:rPr>
        <w:t>Full Study:</w:t>
      </w:r>
    </w:p>
    <w:p w14:paraId="616AF51A" w14:textId="77777777" w:rsidR="007778BA" w:rsidRDefault="007778BA"/>
    <w:p w14:paraId="2D314D5F" w14:textId="77777777" w:rsidR="007778BA" w:rsidRPr="007778BA" w:rsidRDefault="007778BA">
      <w:pPr>
        <w:rPr>
          <w:b/>
        </w:rPr>
      </w:pPr>
      <w:r w:rsidRPr="007778BA">
        <w:rPr>
          <w:b/>
        </w:rPr>
        <w:t xml:space="preserve"> 1. Word Picture / Background</w:t>
      </w:r>
    </w:p>
    <w:p w14:paraId="48AF1BB4" w14:textId="77777777" w:rsidR="007778BA" w:rsidRDefault="007778BA">
      <w:r>
        <w:t xml:space="preserve">The noun ‘ēdût is derived from the verbal root ‘ûd (H5749), which carries the primary sense of returning, repeating, or going over again. From this comes the idea of "protesting," "warning," or "solemnly testifying." A testimony is a truth established by repetition and solemn declaration. </w:t>
      </w:r>
    </w:p>
    <w:p w14:paraId="603BF83E" w14:textId="77777777" w:rsidR="007778BA" w:rsidRDefault="007778BA"/>
    <w:p w14:paraId="396135E5" w14:textId="77777777" w:rsidR="007778BA" w:rsidRDefault="007778BA">
      <w:r>
        <w:t>In the ancient Near East, when a great king (suzerain) made a covenant with a subject nation (vassal), the terms of the treaty were written on tablets. These treaty documents were called "witnesses" or "testimonies" to the covenant. According to ancient custom, these tablets were deposited in the most sacred sanctuary of the vassal nation, specifically placed at the feet of their god's image to denote the divine oversight of the agreement. In Israel's case, because Yahweh has no physical image, the tablets of the Testimony (‘ēdût) were placed inside the Ark of the Covenant—which served as the footstool of God's invisible throne. This background illuminates the tablets not merely as a list of rules, but as the official treaty documents of the King of Kings.</w:t>
      </w:r>
    </w:p>
    <w:p w14:paraId="5995CE9A" w14:textId="77777777" w:rsidR="007778BA" w:rsidRDefault="007778BA"/>
    <w:p w14:paraId="6E6E23F0" w14:textId="77777777" w:rsidR="007778BA" w:rsidRPr="007778BA" w:rsidRDefault="007778BA">
      <w:pPr>
        <w:rPr>
          <w:b/>
        </w:rPr>
      </w:pPr>
      <w:r w:rsidRPr="007778BA">
        <w:rPr>
          <w:b/>
        </w:rPr>
        <w:t xml:space="preserve"> 2. Meaning / Lexical Definition</w:t>
      </w:r>
    </w:p>
    <w:p w14:paraId="6A2B2A3C" w14:textId="77777777" w:rsidR="007778BA" w:rsidRDefault="007778BA">
      <w:r>
        <w:t xml:space="preserve">The term ‘ēdût denotes a precept, warning, or testimony. In the Pentateuch, it is used almost exclusively in the singular as a technical term for the Ten Commandments written on the two tablets of stone (the "tablets of the Testimony"). </w:t>
      </w:r>
    </w:p>
    <w:p w14:paraId="44C3DBC2" w14:textId="77777777" w:rsidR="007778BA" w:rsidRDefault="007778BA"/>
    <w:p w14:paraId="6E6ED24D" w14:textId="77777777" w:rsidR="007778BA" w:rsidRDefault="007778BA">
      <w:r>
        <w:t>Rather than representing abstract legal theories, ‘ēdût is the concrete, tangible expression of God's legislative will. It is His "testimony" because it testifies to His holy character and outlines the terms of His covenant relationship with Israel. To touch, violate, or honor the ‘ēdût was to directly affect one's relationship with the Lawgiver Himself.</w:t>
      </w:r>
    </w:p>
    <w:p w14:paraId="47EEBD7B" w14:textId="77777777" w:rsidR="007778BA" w:rsidRDefault="007778BA"/>
    <w:p w14:paraId="568BB17C" w14:textId="77777777" w:rsidR="007778BA" w:rsidRPr="007778BA" w:rsidRDefault="007778BA">
      <w:pPr>
        <w:rPr>
          <w:b/>
        </w:rPr>
      </w:pPr>
      <w:r w:rsidRPr="007778BA">
        <w:rPr>
          <w:b/>
        </w:rPr>
        <w:t xml:space="preserve"> 3. Usage and Word Pictures</w:t>
      </w:r>
    </w:p>
    <w:p w14:paraId="4462A3F9" w14:textId="77777777" w:rsidR="007778BA" w:rsidRDefault="007778BA">
      <w:r>
        <w:t>The word ‘ēdût is used heavily in the description of the Tabernacle, highlighting its central role in Israel's worship:</w:t>
      </w:r>
    </w:p>
    <w:p w14:paraId="3F719A58" w14:textId="77777777" w:rsidR="007778BA" w:rsidRDefault="007778BA">
      <w:r>
        <w:t>• The Ark of the Testimony (’ărôn ha‘ēdut): The chest constructed to house the stone tablets (Exodus 25:22).</w:t>
      </w:r>
    </w:p>
    <w:p w14:paraId="64BB92CD" w14:textId="77777777" w:rsidR="007778BA" w:rsidRDefault="007778BA">
      <w:r>
        <w:t>• The Tabernacle of the Testimony (mishkan ha‘ēdut): The entire tent structure, named after the holy documents housed within its inner sanctum (Exodus 38:21).</w:t>
      </w:r>
    </w:p>
    <w:p w14:paraId="02580ACC" w14:textId="77777777" w:rsidR="007778BA" w:rsidRDefault="007778BA">
      <w:r>
        <w:t>• The Veil of the Testimony (pārōket ha‘ēdut): The thick curtain separating the Holy Place from the Holy of Holies, where the tablets were kept (Leviticus 24:3).</w:t>
      </w:r>
    </w:p>
    <w:p w14:paraId="34A09FE4" w14:textId="77777777" w:rsidR="007778BA" w:rsidRDefault="007778BA"/>
    <w:p w14:paraId="3E00B3C2" w14:textId="77777777" w:rsidR="007778BA" w:rsidRDefault="007778BA">
      <w:r>
        <w:t>Through these associations, the Tabernacle functions as a physical "word picture" of God’s protective custody over His holy standards. The structure is literally built around the Testimony.</w:t>
      </w:r>
    </w:p>
    <w:p w14:paraId="73E6A6E3" w14:textId="77777777" w:rsidR="007778BA" w:rsidRDefault="007778BA"/>
    <w:p w14:paraId="14DBA584" w14:textId="77777777" w:rsidR="007778BA" w:rsidRPr="007778BA" w:rsidRDefault="007778BA">
      <w:pPr>
        <w:rPr>
          <w:b/>
        </w:rPr>
      </w:pPr>
      <w:r w:rsidRPr="007778BA">
        <w:rPr>
          <w:b/>
        </w:rPr>
        <w:t xml:space="preserve"> 4. Theological Implications</w:t>
      </w:r>
    </w:p>
    <w:p w14:paraId="6B12D969" w14:textId="77777777" w:rsidR="007778BA" w:rsidRDefault="007778BA">
      <w:r>
        <w:t xml:space="preserve">The presence of the Testimony inside the Ark of the Covenant carries profound theological weight. </w:t>
      </w:r>
    </w:p>
    <w:p w14:paraId="163E1117" w14:textId="77777777" w:rsidR="007778BA" w:rsidRDefault="007778BA"/>
    <w:p w14:paraId="57C6BC58" w14:textId="77777777" w:rsidR="007778BA" w:rsidRDefault="007778BA">
      <w:r>
        <w:t xml:space="preserve">First, it reveals that God’s relationship with His people is anchored in objective truth and moral holiness. He is not a capricious deity whose whims change; His standards are written in stone and preserved at the center of Israel's camp. </w:t>
      </w:r>
    </w:p>
    <w:p w14:paraId="3D33852D" w14:textId="77777777" w:rsidR="007778BA" w:rsidRDefault="007778BA"/>
    <w:p w14:paraId="67BA3D1C" w14:textId="77777777" w:rsidR="007778BA" w:rsidRDefault="007778BA">
      <w:r>
        <w:t>Second, the structural placement of the Testimony reveals the gospel in shadow form. The tablets of the Testimony (which condemn sinful humanity) are placed inside the Ark. Directly above the tablets sits the Mercy Seat (the atonement cover), sprinkled with sacrificial blood. Thus, God's mercy and atonement stand between His holy, condemning law and His presence dwelling above the cherubim. The law is covered by mercy.</w:t>
      </w:r>
    </w:p>
    <w:p w14:paraId="709C0875" w14:textId="77777777" w:rsidR="007778BA" w:rsidRDefault="007778BA"/>
    <w:p w14:paraId="12411CD9" w14:textId="77777777" w:rsidR="007778BA" w:rsidRPr="007778BA" w:rsidRDefault="007778BA">
      <w:pPr>
        <w:rPr>
          <w:b/>
        </w:rPr>
      </w:pPr>
      <w:r w:rsidRPr="007778BA">
        <w:rPr>
          <w:b/>
        </w:rPr>
        <w:t xml:space="preserve"> 5. Contextual Nuance in the Passage</w:t>
      </w:r>
    </w:p>
    <w:p w14:paraId="2EA0BEF5" w14:textId="77777777" w:rsidR="007778BA" w:rsidRDefault="007778BA">
      <w:r>
        <w:t xml:space="preserve">In Exodus 25:16, God commands Moses, "And you shall put into the ark the Testimony which I will give you." This instruction is given before the instructions for constructing the Mercy Seat (v. 17) or placing it on top of the Ark (v. 21). </w:t>
      </w:r>
    </w:p>
    <w:p w14:paraId="5D806263" w14:textId="77777777" w:rsidR="007778BA" w:rsidRDefault="007778BA"/>
    <w:p w14:paraId="70967BF7" w14:textId="77777777" w:rsidR="007778BA" w:rsidRDefault="007778BA">
      <w:r>
        <w:t>This sequence highlights priority: the Ark was not designed as general holy storage, nor was it built primarily to support the Mercy Seat. Its primary purpose was to house and protect the Testimony. Before atonement (the Mercy Seat) can be understood, the standard of holiness (the Testimony) must first be established. God gives the Testimony; humanity does not manufacture it.</w:t>
      </w:r>
    </w:p>
    <w:p w14:paraId="2AA40517" w14:textId="77777777" w:rsidR="007778BA" w:rsidRDefault="007778BA"/>
    <w:p w14:paraId="26C40FBA" w14:textId="77777777" w:rsidR="007778BA" w:rsidRPr="007778BA" w:rsidRDefault="007778BA">
      <w:pPr>
        <w:rPr>
          <w:b/>
        </w:rPr>
      </w:pPr>
      <w:r w:rsidRPr="007778BA">
        <w:rPr>
          <w:b/>
        </w:rPr>
        <w:t xml:space="preserve"> 6. Key Uses in Other Verses (NKJV)</w:t>
      </w:r>
    </w:p>
    <w:p w14:paraId="4320C419" w14:textId="77777777" w:rsidR="007778BA" w:rsidRDefault="007778BA">
      <w:r>
        <w:t>• Exodus 31:18: "And when He had made an end of speaking with him on Mount Sinai, He gave Moses two tablets of the Testimony, tablets of stone, written with the finger of God."</w:t>
      </w:r>
    </w:p>
    <w:p w14:paraId="09B8B407" w14:textId="77777777" w:rsidR="007778BA" w:rsidRDefault="007778BA">
      <w:r>
        <w:t>• Exodus 25:22: "And there I will meet with you, and I will speak with you from above the mercy seat, from between the two cherubim which are on the ark of the Testimony..."</w:t>
      </w:r>
    </w:p>
    <w:p w14:paraId="461392DE" w14:textId="77777777" w:rsidR="007778BA" w:rsidRDefault="007778BA">
      <w:r>
        <w:t>• Psalm 19:7: "The law of the Lord is perfect, converting the soul; The testimony of the Lord is sure, making wise the simple;"</w:t>
      </w:r>
    </w:p>
    <w:p w14:paraId="7097DEEA" w14:textId="77777777" w:rsidR="007778BA" w:rsidRDefault="007778BA">
      <w:r>
        <w:t>• Psalm 119:2: "Blessed are those who keep His testimonies, Who seek Him with the whole heart!"</w:t>
      </w:r>
    </w:p>
    <w:p w14:paraId="4226B320" w14:textId="77777777" w:rsidR="007778BA" w:rsidRDefault="007778BA"/>
    <w:p w14:paraId="1F4FBA3D" w14:textId="77777777" w:rsidR="007778BA" w:rsidRPr="007778BA" w:rsidRDefault="007778BA">
      <w:pPr>
        <w:rPr>
          <w:b/>
        </w:rPr>
      </w:pPr>
      <w:r w:rsidRPr="007778BA">
        <w:rPr>
          <w:b/>
        </w:rPr>
        <w:t xml:space="preserve"> 7. Other Relevant Insights</w:t>
      </w:r>
    </w:p>
    <w:p w14:paraId="6912860D" w14:textId="77777777" w:rsidR="007778BA" w:rsidRDefault="007778BA">
      <w:r>
        <w:t>It is helpful to contrast ‘ēdût (testimony) with berit (covenant). While berit refers to the relationship, pact, or alliance itself, ‘ēdût refers to the concrete, written terms and witnesses that verify and sustain that pact. One might think of berit as the marriage relationship, and ‘ēdût as the signed marriage certificate and vows. This explains why the Ark can be called both the "Ark of the Covenant" (’ărôn habberît) and the "Ark of the Testimony" (’ărôn ha‘ēdut) without contradiction; they refer to the same object viewed through different theological lenses.</w:t>
      </w:r>
    </w:p>
    <w:p w14:paraId="4CFB01AB" w14:textId="77777777" w:rsidR="007778BA" w:rsidRDefault="007778BA"/>
    <w:p w14:paraId="2D34B593" w14:textId="77777777" w:rsidR="007778BA" w:rsidRPr="007778BA" w:rsidRDefault="007778BA">
      <w:pPr>
        <w:rPr>
          <w:b/>
        </w:rPr>
      </w:pPr>
      <w:r w:rsidRPr="007778BA">
        <w:rPr>
          <w:b/>
        </w:rPr>
        <w:t xml:space="preserve"> 8. References</w:t>
      </w:r>
    </w:p>
    <w:p w14:paraId="179DF106" w14:textId="77777777" w:rsidR="007778BA" w:rsidRDefault="007778BA">
      <w:r>
        <w:t>• Brown, Driver, and Briggs. Hebrew and English Lexicon of the Old Testament.</w:t>
      </w:r>
    </w:p>
    <w:p w14:paraId="05075C14" w14:textId="77777777" w:rsidR="007778BA" w:rsidRDefault="007778BA">
      <w:r>
        <w:t>• Harris, Archer, and Waltke. Theological Wordbook of the Old Testament.</w:t>
      </w:r>
    </w:p>
    <w:p w14:paraId="4AE22659" w14:textId="77777777" w:rsidR="007778BA" w:rsidRDefault="007778BA">
      <w:r>
        <w:t>• Koehler and Baumgartner. The Hebrew and Aramaic Lexicon of the Old Testament.</w:t>
      </w:r>
    </w:p>
    <w:p w14:paraId="5356F299" w14:textId="60E60D4E" w:rsidR="004C5552" w:rsidRDefault="007778B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8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78BA"/>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947B"/>
  <w15:chartTrackingRefBased/>
  <w15:docId w15:val="{C3A586BC-4E52-4826-A87A-88957F04B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7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7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BA"/>
    <w:rPr>
      <w:rFonts w:eastAsiaTheme="majorEastAsia" w:cstheme="majorBidi"/>
      <w:color w:val="272727" w:themeColor="text1" w:themeTint="D8"/>
    </w:rPr>
  </w:style>
  <w:style w:type="paragraph" w:styleId="Title">
    <w:name w:val="Title"/>
    <w:basedOn w:val="Normal"/>
    <w:next w:val="Normal"/>
    <w:link w:val="TitleChar"/>
    <w:uiPriority w:val="10"/>
    <w:qFormat/>
    <w:rsid w:val="00777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BA"/>
    <w:pPr>
      <w:spacing w:before="160"/>
      <w:jc w:val="center"/>
    </w:pPr>
    <w:rPr>
      <w:i/>
      <w:iCs/>
      <w:color w:val="404040" w:themeColor="text1" w:themeTint="BF"/>
    </w:rPr>
  </w:style>
  <w:style w:type="character" w:customStyle="1" w:styleId="QuoteChar">
    <w:name w:val="Quote Char"/>
    <w:basedOn w:val="DefaultParagraphFont"/>
    <w:link w:val="Quote"/>
    <w:uiPriority w:val="29"/>
    <w:rsid w:val="007778BA"/>
    <w:rPr>
      <w:i/>
      <w:iCs/>
      <w:color w:val="404040" w:themeColor="text1" w:themeTint="BF"/>
    </w:rPr>
  </w:style>
  <w:style w:type="paragraph" w:styleId="ListParagraph">
    <w:name w:val="List Paragraph"/>
    <w:basedOn w:val="Normal"/>
    <w:uiPriority w:val="34"/>
    <w:qFormat/>
    <w:rsid w:val="007778BA"/>
    <w:pPr>
      <w:ind w:left="720"/>
      <w:contextualSpacing/>
    </w:pPr>
  </w:style>
  <w:style w:type="character" w:styleId="IntenseEmphasis">
    <w:name w:val="Intense Emphasis"/>
    <w:basedOn w:val="DefaultParagraphFont"/>
    <w:uiPriority w:val="21"/>
    <w:qFormat/>
    <w:rsid w:val="007778BA"/>
    <w:rPr>
      <w:i/>
      <w:iCs/>
      <w:color w:val="2E74B5" w:themeColor="accent1" w:themeShade="BF"/>
    </w:rPr>
  </w:style>
  <w:style w:type="paragraph" w:styleId="IntenseQuote">
    <w:name w:val="Intense Quote"/>
    <w:basedOn w:val="Normal"/>
    <w:next w:val="Normal"/>
    <w:link w:val="IntenseQuoteChar"/>
    <w:uiPriority w:val="30"/>
    <w:qFormat/>
    <w:rsid w:val="007778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78BA"/>
    <w:rPr>
      <w:i/>
      <w:iCs/>
      <w:color w:val="2E74B5" w:themeColor="accent1" w:themeShade="BF"/>
    </w:rPr>
  </w:style>
  <w:style w:type="character" w:styleId="IntenseReference">
    <w:name w:val="Intense Reference"/>
    <w:basedOn w:val="DefaultParagraphFont"/>
    <w:uiPriority w:val="32"/>
    <w:qFormat/>
    <w:rsid w:val="007778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5165</Characters>
  <Application>Microsoft Office Word</Application>
  <DocSecurity>0</DocSecurity>
  <Lines>43</Lines>
  <Paragraphs>12</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