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267E" w14:textId="77777777" w:rsidR="00562188" w:rsidRPr="00562188" w:rsidRDefault="00562188">
      <w:pPr>
        <w:rPr>
          <w:b/>
        </w:rPr>
      </w:pPr>
      <w:r w:rsidRPr="00562188">
        <w:rPr>
          <w:b/>
        </w:rPr>
        <w:t>MERCY SEAT - ( kapporeth , Strong's H3727 )</w:t>
      </w:r>
    </w:p>
    <w:p w14:paraId="697C55B0" w14:textId="77777777" w:rsidR="00562188" w:rsidRDefault="00562188">
      <w:r w:rsidRPr="00562188">
        <w:rPr>
          <w:b/>
        </w:rPr>
        <w:t>Summary:</w:t>
      </w:r>
    </w:p>
    <w:p w14:paraId="64E2DB8D" w14:textId="77777777" w:rsidR="00562188" w:rsidRDefault="00562188">
      <w:r>
        <w:t>The "mercy seat" is the solid gold lid that covered the Ark of the Covenant in the Holy of Holies. More than a mere architectural cover, it was the central place of atonement where the High Priest sprinkled sacrificial blood once a year on the Day of Atonement (Yom Kippur). Rooted in the Hebrew concept of covering or appeasing, the mercy seat represents the physical and theological intersection of God's holy presence and His redemptive grace, serving as the ultimate Old Testament picture of the substitutionary atonement found in Jesus Christ.</w:t>
      </w:r>
    </w:p>
    <w:p w14:paraId="19ACCB85" w14:textId="77777777" w:rsidR="00562188" w:rsidRDefault="00562188"/>
    <w:p w14:paraId="7FB5038D" w14:textId="77777777" w:rsidR="00562188" w:rsidRDefault="00562188">
      <w:r w:rsidRPr="00562188">
        <w:rPr>
          <w:b/>
        </w:rPr>
        <w:t>Full Study:</w:t>
      </w:r>
    </w:p>
    <w:p w14:paraId="29E56032" w14:textId="77777777" w:rsidR="00562188" w:rsidRDefault="00562188"/>
    <w:p w14:paraId="5057541E" w14:textId="77777777" w:rsidR="00562188" w:rsidRPr="00562188" w:rsidRDefault="00562188">
      <w:pPr>
        <w:rPr>
          <w:b/>
        </w:rPr>
      </w:pPr>
      <w:r w:rsidRPr="00562188">
        <w:rPr>
          <w:b/>
        </w:rPr>
        <w:t>1. Word Picture / Background</w:t>
      </w:r>
    </w:p>
    <w:p w14:paraId="4687B690" w14:textId="77777777" w:rsidR="00562188" w:rsidRDefault="00562188">
      <w:r>
        <w:t xml:space="preserve">Physically, the kapporeth was a slab of pure gold, measuring exactly two and a half cubits long by one and a half cubits wide, designed to fit perfectly over the top of the Ark of the Covenant. Rising out of its ends, beaten from the very same piece of gold, were two cherubim facing one another with their wings spread over the cover. </w:t>
      </w:r>
    </w:p>
    <w:p w14:paraId="71A8E53F" w14:textId="77777777" w:rsidR="00562188" w:rsidRDefault="00562188"/>
    <w:p w14:paraId="72B67F4B" w14:textId="77777777" w:rsidR="00562188" w:rsidRDefault="00562188">
      <w:r>
        <w:t>Unlike the Ark itself, which was constructed of acacia wood overlaid with gold, the mercy seat was entirely solid gold, representing unalloyed divine holiness and glory. Positioned directly beneath the wings of the cherubim, this space was considered the earthly throne of Yahweh. Beneath this golden cover lay the tablets of the Ten Commandments—the righteous Law that Israel continually broke.</w:t>
      </w:r>
    </w:p>
    <w:p w14:paraId="168615E0" w14:textId="77777777" w:rsidR="00562188" w:rsidRDefault="00562188"/>
    <w:p w14:paraId="34CCA07A" w14:textId="77777777" w:rsidR="00562188" w:rsidRPr="00562188" w:rsidRDefault="00562188">
      <w:pPr>
        <w:rPr>
          <w:b/>
        </w:rPr>
      </w:pPr>
      <w:r w:rsidRPr="00562188">
        <w:rPr>
          <w:b/>
        </w:rPr>
        <w:t>2. Meaning / Lexical Definition</w:t>
      </w:r>
    </w:p>
    <w:p w14:paraId="1522F632" w14:textId="77777777" w:rsidR="00562188" w:rsidRDefault="00562188">
      <w:r>
        <w:t xml:space="preserve">The noun kapporeth refers exclusively to the golden cover of the Ark of the Covenant. It is never used in the Old Testament for a common lid or covering (a different Hebrew word would be employed for a standard lid). </w:t>
      </w:r>
    </w:p>
    <w:p w14:paraId="637ED07D" w14:textId="77777777" w:rsidR="00562188" w:rsidRDefault="00562188"/>
    <w:p w14:paraId="1E8EDD83" w14:textId="77777777" w:rsidR="00562188" w:rsidRDefault="00562188">
      <w:r>
        <w:t xml:space="preserve">The word is derived from the vital theological root verb kaphar, which means to cover, to appease, to pacify, to make atonement, or to expiate. Thus, the kapporeth is literally the "place of atonement" or the "instrument of propitiation." It is the precise location where sin is covered and the righteous wrath of God against covenant-breaking is pacified through blood. </w:t>
      </w:r>
    </w:p>
    <w:p w14:paraId="1F3C0745" w14:textId="77777777" w:rsidR="00562188" w:rsidRDefault="00562188"/>
    <w:p w14:paraId="6FB5D6BE" w14:textId="77777777" w:rsidR="00562188" w:rsidRPr="00562188" w:rsidRDefault="00562188">
      <w:pPr>
        <w:rPr>
          <w:b/>
        </w:rPr>
      </w:pPr>
      <w:r w:rsidRPr="00562188">
        <w:rPr>
          <w:b/>
        </w:rPr>
        <w:t>3. Usage and Word Pictures</w:t>
      </w:r>
    </w:p>
    <w:p w14:paraId="3330ABCF" w14:textId="77777777" w:rsidR="00562188" w:rsidRDefault="00562188">
      <w:r>
        <w:t xml:space="preserve">The imagery of the mercy seat comes into sharpest focus on the Day of Atonement (Yom Kippur). Once a year, the High Priest entered the Holy of Holies carrying the blood of a substitute goat. He would sprinkle this blood on the front and upon the top of the kapporeth. </w:t>
      </w:r>
    </w:p>
    <w:p w14:paraId="2E04200B" w14:textId="77777777" w:rsidR="00562188" w:rsidRDefault="00562188"/>
    <w:p w14:paraId="6E2223AB" w14:textId="77777777" w:rsidR="00562188" w:rsidRDefault="00562188">
      <w:r>
        <w:t>The visual theology is profound: God's presence dwelt above the mercy seat, looking down toward the tablets of the Law inside the Ark. That Law condemned the people for their sin. However, between the holy gaze of God and the condemning Law rested the solid gold kapporeth, heavily stained with the blood of an innocent substitute. God saw the blood, His justice was satisfied, and the sins of the people were covered.</w:t>
      </w:r>
    </w:p>
    <w:p w14:paraId="78EE31DD" w14:textId="77777777" w:rsidR="00562188" w:rsidRDefault="00562188"/>
    <w:p w14:paraId="312C7939" w14:textId="77777777" w:rsidR="00562188" w:rsidRPr="00562188" w:rsidRDefault="00562188">
      <w:pPr>
        <w:rPr>
          <w:b/>
        </w:rPr>
      </w:pPr>
      <w:r w:rsidRPr="00562188">
        <w:rPr>
          <w:b/>
        </w:rPr>
        <w:t>4. Theological Implications</w:t>
      </w:r>
    </w:p>
    <w:p w14:paraId="4774DDB6" w14:textId="77777777" w:rsidR="00562188" w:rsidRDefault="00562188">
      <w:r>
        <w:t xml:space="preserve">The mercy seat is the supreme Old Testament foreshadowing of Jesus Christ. The Septuagint (the ancient Greek translation of the Old Testament) translated kapporeth with the Greek word hilasterion. In the New Testament, the Apostle Paul uses this exact Greek word in Romans 3:25, declaring that God set forth Jesus Christ as our hilasterion—our propitiation, or our "mercy seat." </w:t>
      </w:r>
    </w:p>
    <w:p w14:paraId="33EFDDAA" w14:textId="77777777" w:rsidR="00562188" w:rsidRDefault="00562188"/>
    <w:p w14:paraId="5FEA3CF5" w14:textId="77777777" w:rsidR="00562188" w:rsidRDefault="00562188">
      <w:r>
        <w:t>Jesus is not only the High Priest who brings the blood; He is the sacrifice whose blood is shed, and He is the very meeting place where God and man are reconciled. The wrath of God against sin is fully satisfied in Him, turning the throne of judgment into a throne of grace.</w:t>
      </w:r>
    </w:p>
    <w:p w14:paraId="5CB1AEE0" w14:textId="77777777" w:rsidR="00562188" w:rsidRDefault="00562188"/>
    <w:p w14:paraId="280A72CA" w14:textId="77777777" w:rsidR="00562188" w:rsidRPr="00562188" w:rsidRDefault="00562188">
      <w:pPr>
        <w:rPr>
          <w:b/>
        </w:rPr>
      </w:pPr>
      <w:r w:rsidRPr="00562188">
        <w:rPr>
          <w:b/>
        </w:rPr>
        <w:t>5. Contextual Nuance in the Passage</w:t>
      </w:r>
    </w:p>
    <w:p w14:paraId="5511DE36" w14:textId="77777777" w:rsidR="00562188" w:rsidRDefault="00562188">
      <w:r>
        <w:t xml:space="preserve">In Exodus 25:17, God gives Moses the precise architectural specifications for the tabernacle. Strikingly, God details the construction of the Ark (the wooden box) in verses 10-16, and then treats the mercy seat in verse 17 as a distinct and entirely separate piece of furniture. It was not merely the top of a box; it was the crowning pinnacle of the tabernacle. By demanding it be made of "pure gold," God established that atonement is entirely a work of divine perfection, completely untainted by human effort or earthly materials (represented by the wood). </w:t>
      </w:r>
    </w:p>
    <w:p w14:paraId="2B22788A" w14:textId="77777777" w:rsidR="00562188" w:rsidRDefault="00562188"/>
    <w:p w14:paraId="47D0739D" w14:textId="77777777" w:rsidR="00562188" w:rsidRPr="00562188" w:rsidRDefault="00562188">
      <w:pPr>
        <w:rPr>
          <w:b/>
        </w:rPr>
      </w:pPr>
      <w:r w:rsidRPr="00562188">
        <w:rPr>
          <w:b/>
        </w:rPr>
        <w:t>6. Key Uses in Other Verses (NKJV)</w:t>
      </w:r>
    </w:p>
    <w:p w14:paraId="00B45EA9" w14:textId="77777777" w:rsidR="00562188" w:rsidRDefault="00562188">
      <w:r>
        <w:t>• Exodus 25:22 - "And there I will meet with you, and I will speak with you from above the mercy seat, from between the two cherubim which are on the ark of the Testimony..."</w:t>
      </w:r>
    </w:p>
    <w:p w14:paraId="4F7E71D6" w14:textId="77777777" w:rsidR="00562188" w:rsidRDefault="00562188">
      <w:r>
        <w:t>• Leviticus 16:14 - "He shall take some of the blood of the bull and sprinkle it with his finger on the mercy seat on the east side; and before the mercy seat he shall sprinkle some of the blood with his finger seven times."</w:t>
      </w:r>
    </w:p>
    <w:p w14:paraId="214BCB26" w14:textId="77777777" w:rsidR="00562188" w:rsidRDefault="00562188">
      <w:r>
        <w:t>• Numbers 7:89 - "Now when Moses went into the tabernacle of meeting to speak with Him, he heard the voice of One speaking to him from above the mercy seat that was on the ark of the Testimony..."</w:t>
      </w:r>
    </w:p>
    <w:p w14:paraId="3A50CDE4" w14:textId="77777777" w:rsidR="00562188" w:rsidRDefault="00562188">
      <w:r>
        <w:t>• 1 Chronicles 28:11 - "Then David gave his son Solomon the plans for the vestibule... and of the room of the mercy seat."</w:t>
      </w:r>
    </w:p>
    <w:p w14:paraId="560AC3EB" w14:textId="77777777" w:rsidR="00562188" w:rsidRDefault="00562188"/>
    <w:p w14:paraId="1C55A776" w14:textId="77777777" w:rsidR="00562188" w:rsidRPr="00562188" w:rsidRDefault="00562188">
      <w:pPr>
        <w:rPr>
          <w:b/>
        </w:rPr>
      </w:pPr>
      <w:r w:rsidRPr="00562188">
        <w:rPr>
          <w:b/>
        </w:rPr>
        <w:t>7. Other Relevant Insights</w:t>
      </w:r>
    </w:p>
    <w:p w14:paraId="68B6609B" w14:textId="77777777" w:rsidR="00562188" w:rsidRDefault="00562188">
      <w:r>
        <w:t>• The English phrase "mercy seat" was coined by William Tyndale in his 1530 translation of the Pentateuch. Seeking to capture the deep theological resonance of the Hebrew kapporeth, Tyndale was influenced by Martin Luther, who translated it into German as Gnadenstuhl (literally, "seat of grace").</w:t>
      </w:r>
    </w:p>
    <w:p w14:paraId="55581754" w14:textId="77777777" w:rsidR="00562188" w:rsidRDefault="00562188">
      <w:r>
        <w:t>• There is a stunning visual parallel in the Gospel of John regarding the resurrection. When Mary looks into the empty tomb, she sees "two angels in white sitting, one at the head and the other at the feet, where the body of Jesus had lain" (John 20:12). This brilliantly echoes the two cherubim at the ends of the mercy seat, signifying that the finished work of Christ is the ultimate and final resting place of atonement.</w:t>
      </w:r>
    </w:p>
    <w:p w14:paraId="6F900E82" w14:textId="77777777" w:rsidR="00562188" w:rsidRDefault="00562188"/>
    <w:p w14:paraId="2C29FFE2" w14:textId="77777777" w:rsidR="00562188" w:rsidRPr="00562188" w:rsidRDefault="00562188">
      <w:pPr>
        <w:rPr>
          <w:b/>
        </w:rPr>
      </w:pPr>
      <w:r w:rsidRPr="00562188">
        <w:rPr>
          <w:b/>
        </w:rPr>
        <w:t>8. References</w:t>
      </w:r>
    </w:p>
    <w:p w14:paraId="567EE487" w14:textId="77777777" w:rsidR="00562188" w:rsidRDefault="00562188">
      <w:r>
        <w:t>• Theological Wordbook of the Old Testament (TWOT)</w:t>
      </w:r>
    </w:p>
    <w:p w14:paraId="26B9D8B8" w14:textId="77777777" w:rsidR="00562188" w:rsidRDefault="00562188">
      <w:r>
        <w:t>• New International Dictionary of Old Testament Theology and Exegesis (NIDOTTE)</w:t>
      </w:r>
    </w:p>
    <w:p w14:paraId="390DCF9D" w14:textId="77777777" w:rsidR="00562188" w:rsidRDefault="00562188">
      <w:r>
        <w:t>• Brown-Driver-Briggs Hebrew and English Lexicon (BDB)</w:t>
      </w:r>
    </w:p>
    <w:p w14:paraId="4D413F2F" w14:textId="77777777" w:rsidR="00562188" w:rsidRDefault="00562188">
      <w:r>
        <w:t>• Hebrew and Aramaic Lexicon of the Old Testament (HALOT)</w:t>
      </w:r>
    </w:p>
    <w:p w14:paraId="20DCD985" w14:textId="5B21C690" w:rsidR="004C5552" w:rsidRDefault="0056218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218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8468"/>
  <w15:chartTrackingRefBased/>
  <w15:docId w15:val="{E657C95F-7B1C-4269-8AD3-86221778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2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2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188"/>
    <w:rPr>
      <w:rFonts w:eastAsiaTheme="majorEastAsia" w:cstheme="majorBidi"/>
      <w:color w:val="272727" w:themeColor="text1" w:themeTint="D8"/>
    </w:rPr>
  </w:style>
  <w:style w:type="paragraph" w:styleId="Title">
    <w:name w:val="Title"/>
    <w:basedOn w:val="Normal"/>
    <w:next w:val="Normal"/>
    <w:link w:val="TitleChar"/>
    <w:uiPriority w:val="10"/>
    <w:qFormat/>
    <w:rsid w:val="00562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188"/>
    <w:pPr>
      <w:spacing w:before="160"/>
      <w:jc w:val="center"/>
    </w:pPr>
    <w:rPr>
      <w:i/>
      <w:iCs/>
      <w:color w:val="404040" w:themeColor="text1" w:themeTint="BF"/>
    </w:rPr>
  </w:style>
  <w:style w:type="character" w:customStyle="1" w:styleId="QuoteChar">
    <w:name w:val="Quote Char"/>
    <w:basedOn w:val="DefaultParagraphFont"/>
    <w:link w:val="Quote"/>
    <w:uiPriority w:val="29"/>
    <w:rsid w:val="00562188"/>
    <w:rPr>
      <w:i/>
      <w:iCs/>
      <w:color w:val="404040" w:themeColor="text1" w:themeTint="BF"/>
    </w:rPr>
  </w:style>
  <w:style w:type="paragraph" w:styleId="ListParagraph">
    <w:name w:val="List Paragraph"/>
    <w:basedOn w:val="Normal"/>
    <w:uiPriority w:val="34"/>
    <w:qFormat/>
    <w:rsid w:val="00562188"/>
    <w:pPr>
      <w:ind w:left="720"/>
      <w:contextualSpacing/>
    </w:pPr>
  </w:style>
  <w:style w:type="character" w:styleId="IntenseEmphasis">
    <w:name w:val="Intense Emphasis"/>
    <w:basedOn w:val="DefaultParagraphFont"/>
    <w:uiPriority w:val="21"/>
    <w:qFormat/>
    <w:rsid w:val="00562188"/>
    <w:rPr>
      <w:i/>
      <w:iCs/>
      <w:color w:val="2E74B5" w:themeColor="accent1" w:themeShade="BF"/>
    </w:rPr>
  </w:style>
  <w:style w:type="paragraph" w:styleId="IntenseQuote">
    <w:name w:val="Intense Quote"/>
    <w:basedOn w:val="Normal"/>
    <w:next w:val="Normal"/>
    <w:link w:val="IntenseQuoteChar"/>
    <w:uiPriority w:val="30"/>
    <w:qFormat/>
    <w:rsid w:val="005621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2188"/>
    <w:rPr>
      <w:i/>
      <w:iCs/>
      <w:color w:val="2E74B5" w:themeColor="accent1" w:themeShade="BF"/>
    </w:rPr>
  </w:style>
  <w:style w:type="character" w:styleId="IntenseReference">
    <w:name w:val="Intense Reference"/>
    <w:basedOn w:val="DefaultParagraphFont"/>
    <w:uiPriority w:val="32"/>
    <w:qFormat/>
    <w:rsid w:val="005621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