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8034" w14:textId="77777777" w:rsidR="00D6100D" w:rsidRPr="00D6100D" w:rsidRDefault="00D6100D">
      <w:pPr>
        <w:rPr>
          <w:b/>
        </w:rPr>
      </w:pPr>
      <w:r w:rsidRPr="00D6100D">
        <w:rPr>
          <w:b/>
        </w:rPr>
        <w:t>HANDBREADTH - ( tōp̄a</w:t>
      </w:r>
      <w:r w:rsidRPr="00D6100D">
        <w:rPr>
          <w:rFonts w:ascii="Calibri" w:hAnsi="Calibri" w:cs="Calibri"/>
          <w:b/>
        </w:rPr>
        <w:t>ḥ</w:t>
      </w:r>
      <w:r w:rsidRPr="00D6100D">
        <w:rPr>
          <w:b/>
        </w:rPr>
        <w:t xml:space="preserve"> / tep̄a</w:t>
      </w:r>
      <w:r w:rsidRPr="00D6100D">
        <w:rPr>
          <w:rFonts w:ascii="Calibri" w:hAnsi="Calibri" w:cs="Calibri"/>
          <w:b/>
        </w:rPr>
        <w:t>ḥ</w:t>
      </w:r>
      <w:r w:rsidRPr="00D6100D">
        <w:rPr>
          <w:b/>
        </w:rPr>
        <w:t xml:space="preserve"> , Strong's H2948 )</w:t>
      </w:r>
    </w:p>
    <w:p w14:paraId="648E42F1" w14:textId="77777777" w:rsidR="00D6100D" w:rsidRDefault="00D6100D">
      <w:r w:rsidRPr="00D6100D">
        <w:rPr>
          <w:b/>
        </w:rPr>
        <w:t>Summary:</w:t>
      </w:r>
    </w:p>
    <w:p w14:paraId="0DC61D31" w14:textId="77777777" w:rsidR="00D6100D" w:rsidRDefault="00D6100D">
      <w:r>
        <w:t xml:space="preserve">The Hebrew word </w:t>
      </w:r>
      <w:r>
        <w:rPr>
          <w:rFonts w:ascii="Calibri" w:hAnsi="Calibri" w:cs="Calibri"/>
        </w:rPr>
        <w:t>ṭ</w:t>
      </w:r>
      <w:r>
        <w:t>ōp̄a</w:t>
      </w:r>
      <w:r>
        <w:rPr>
          <w:rFonts w:ascii="Calibri" w:hAnsi="Calibri" w:cs="Calibri"/>
        </w:rPr>
        <w:t>ḥ</w:t>
      </w:r>
      <w:r>
        <w:t xml:space="preserve"> (or </w:t>
      </w:r>
      <w:r>
        <w:rPr>
          <w:rFonts w:ascii="Calibri" w:hAnsi="Calibri" w:cs="Calibri"/>
        </w:rPr>
        <w:t>ṭ</w:t>
      </w:r>
      <w:r>
        <w:t>ep̄a</w:t>
      </w:r>
      <w:r>
        <w:rPr>
          <w:rFonts w:ascii="Calibri" w:hAnsi="Calibri" w:cs="Calibri"/>
        </w:rPr>
        <w:t>ḥ</w:t>
      </w:r>
      <w:r>
        <w:t>) refers to an ancient unit of measurement equivalent to the width of a human hand at the knuckles, excluding the thumb—approximately three inches. In the construction of the Tabernacle furniture, specifically the Table of Showbread in Exodus 25:25, God commanded a border or frame of one handbreadth to run all around the table. This term bridges the highly practical and the deeply spiritual, illustrating God's meticulous care for the details of worship, His protective boundaries for what is holy, and, in poetic contexts, the fleeting brevity of human existence.</w:t>
      </w:r>
    </w:p>
    <w:p w14:paraId="256C91A2" w14:textId="77777777" w:rsidR="00D6100D" w:rsidRDefault="00D6100D"/>
    <w:p w14:paraId="321F1771" w14:textId="77777777" w:rsidR="00D6100D" w:rsidRDefault="00D6100D">
      <w:r w:rsidRPr="00D6100D">
        <w:rPr>
          <w:b/>
        </w:rPr>
        <w:t>Full Study:</w:t>
      </w:r>
    </w:p>
    <w:p w14:paraId="5465DDEB" w14:textId="77777777" w:rsidR="00D6100D" w:rsidRDefault="00D6100D"/>
    <w:p w14:paraId="7A820C49" w14:textId="77777777" w:rsidR="00D6100D" w:rsidRPr="00D6100D" w:rsidRDefault="00D6100D">
      <w:pPr>
        <w:rPr>
          <w:b/>
        </w:rPr>
      </w:pPr>
      <w:r w:rsidRPr="00D6100D">
        <w:rPr>
          <w:b/>
        </w:rPr>
        <w:t>1. Word Picture / Background</w:t>
      </w:r>
    </w:p>
    <w:p w14:paraId="22BD2576" w14:textId="77777777" w:rsidR="00D6100D" w:rsidRDefault="00D6100D">
      <w:r>
        <w:t xml:space="preserve">In the ancient Near East, linear measurements were standardly based on parts of the human body, which provided an easily accessible reference point. The smallest of these common units was the </w:t>
      </w:r>
      <w:r>
        <w:rPr>
          <w:rFonts w:ascii="Calibri" w:hAnsi="Calibri" w:cs="Calibri"/>
        </w:rPr>
        <w:t>ṭ</w:t>
      </w:r>
      <w:r>
        <w:t>ep̄a</w:t>
      </w:r>
      <w:r>
        <w:rPr>
          <w:rFonts w:ascii="Calibri" w:hAnsi="Calibri" w:cs="Calibri"/>
        </w:rPr>
        <w:t>ḥ</w:t>
      </w:r>
      <w:r>
        <w:t xml:space="preserve"> or handbreadth. It represents the span of four fingers pressed together, measured across the knuckles. </w:t>
      </w:r>
    </w:p>
    <w:p w14:paraId="1074704A" w14:textId="77777777" w:rsidR="00D6100D" w:rsidRDefault="00D6100D">
      <w:r>
        <w:t>• Six handbreadths typically made up a standard cubit (the length from the elbow to the tip of the middle finger).</w:t>
      </w:r>
    </w:p>
    <w:p w14:paraId="6BDFB837" w14:textId="77777777" w:rsidR="00D6100D" w:rsidRDefault="00D6100D">
      <w:r>
        <w:t>• A slightly larger "royal cubit" used in monumental or sacred architecture consisted of seven handbreadths.</w:t>
      </w:r>
    </w:p>
    <w:p w14:paraId="0EB1BDF3" w14:textId="77777777" w:rsidR="00D6100D" w:rsidRDefault="00D6100D">
      <w:r>
        <w:t>• The physical root of the word suggests spreading out or flattening, painting a picture of an open, flat hand used to measure and mark boundaries.</w:t>
      </w:r>
    </w:p>
    <w:p w14:paraId="0B854A5E" w14:textId="77777777" w:rsidR="00D6100D" w:rsidRDefault="00D6100D"/>
    <w:p w14:paraId="15E2579A" w14:textId="77777777" w:rsidR="00D6100D" w:rsidRPr="00D6100D" w:rsidRDefault="00D6100D">
      <w:pPr>
        <w:rPr>
          <w:b/>
        </w:rPr>
      </w:pPr>
      <w:r w:rsidRPr="00D6100D">
        <w:rPr>
          <w:b/>
        </w:rPr>
        <w:t>2. Meaning / Lexical Definition</w:t>
      </w:r>
    </w:p>
    <w:p w14:paraId="2A927865" w14:textId="77777777" w:rsidR="00D6100D" w:rsidRDefault="00D6100D">
      <w:r>
        <w:t xml:space="preserve">The noun </w:t>
      </w:r>
      <w:r>
        <w:rPr>
          <w:rFonts w:ascii="Calibri" w:hAnsi="Calibri" w:cs="Calibri"/>
        </w:rPr>
        <w:t>ṭ</w:t>
      </w:r>
      <w:r>
        <w:t>ōp̄a</w:t>
      </w:r>
      <w:r>
        <w:rPr>
          <w:rFonts w:ascii="Calibri" w:hAnsi="Calibri" w:cs="Calibri"/>
        </w:rPr>
        <w:t>ḥ</w:t>
      </w:r>
      <w:r>
        <w:t xml:space="preserve"> means a handbreadth or palm-width. It functions strictly as a unit of measure. It is derived from the verbal root </w:t>
      </w:r>
      <w:r>
        <w:rPr>
          <w:rFonts w:ascii="Calibri" w:hAnsi="Calibri" w:cs="Calibri"/>
        </w:rPr>
        <w:t>ṭ</w:t>
      </w:r>
      <w:r>
        <w:t>āp̄a</w:t>
      </w:r>
      <w:r>
        <w:rPr>
          <w:rFonts w:ascii="Calibri" w:hAnsi="Calibri" w:cs="Calibri"/>
        </w:rPr>
        <w:t>ḥ</w:t>
      </w:r>
      <w:r>
        <w:t xml:space="preserve"> (Strong's H2946), which means to span, spread out, or extend, reflecting the action of measuring with an open hand. In the design of the Tabernacle and the later Temple of Solomon, it designates precise architectural dimensions, ensuring that human builders adhered strictly to the divine blueprint.</w:t>
      </w:r>
    </w:p>
    <w:p w14:paraId="2F8EC225" w14:textId="77777777" w:rsidR="00D6100D" w:rsidRDefault="00D6100D"/>
    <w:p w14:paraId="24B30EBD" w14:textId="77777777" w:rsidR="00D6100D" w:rsidRPr="00D6100D" w:rsidRDefault="00D6100D">
      <w:pPr>
        <w:rPr>
          <w:b/>
        </w:rPr>
      </w:pPr>
      <w:r w:rsidRPr="00D6100D">
        <w:rPr>
          <w:b/>
        </w:rPr>
        <w:t>3. Usage and Word Pictures</w:t>
      </w:r>
    </w:p>
    <w:p w14:paraId="04F14F12" w14:textId="77777777" w:rsidR="00D6100D" w:rsidRDefault="00D6100D">
      <w:r>
        <w:t>While the word is primarily technical, it is used with powerful figurative effect in Hebrew poetry to describe the brevity of human life:</w:t>
      </w:r>
    </w:p>
    <w:p w14:paraId="29A3A0C6" w14:textId="77777777" w:rsidR="00D6100D" w:rsidRDefault="00D6100D">
      <w:r>
        <w:t>• In Psalm 39:5, the psalmist laments the fleeting nature of life, stating that God has made his days "as handbreadths." By comparing a human lifespan to the smallest common unit of measurement, the text emphasizes how short, fragile, and temporary earthly life is when viewed against the backdrop of eternity.</w:t>
      </w:r>
    </w:p>
    <w:p w14:paraId="224E739D" w14:textId="77777777" w:rsidR="00D6100D" w:rsidRDefault="00D6100D">
      <w:r>
        <w:t>• The term is also used to describe the physical thickness of large, cast-metal temple objects, such as the Bronze Sea, which was a handbreadth thick (1 Kings 7:26). Here, the word conveys massive strength, stability, and substantial construction.</w:t>
      </w:r>
    </w:p>
    <w:p w14:paraId="03C5DDD4" w14:textId="77777777" w:rsidR="00D6100D" w:rsidRDefault="00D6100D"/>
    <w:p w14:paraId="0224CA3E" w14:textId="77777777" w:rsidR="00D6100D" w:rsidRPr="00D6100D" w:rsidRDefault="00D6100D">
      <w:pPr>
        <w:rPr>
          <w:b/>
        </w:rPr>
      </w:pPr>
      <w:r w:rsidRPr="00D6100D">
        <w:rPr>
          <w:b/>
        </w:rPr>
        <w:t>4. Theological Implications</w:t>
      </w:r>
    </w:p>
    <w:p w14:paraId="42CB7CCC" w14:textId="77777777" w:rsidR="00D6100D" w:rsidRDefault="00D6100D">
      <w:r>
        <w:t>The inclusion of a handbreadth-wide frame in the Table of Showbread carries rich theological significance:</w:t>
      </w:r>
    </w:p>
    <w:p w14:paraId="274A5166" w14:textId="77777777" w:rsidR="00D6100D" w:rsidRDefault="00D6100D">
      <w:r>
        <w:t>• Divine Precision: The God of Israel is not a God of vague generalities. He cares about the specific, the minute, and the seemingly insignificant. By specifying the measurement down to a handbreadth, God demonstrates that true worship requires obedience to His exact instructions.</w:t>
      </w:r>
    </w:p>
    <w:p w14:paraId="4FC3613B" w14:textId="77777777" w:rsidR="00D6100D" w:rsidRDefault="00D6100D">
      <w:r>
        <w:t>• Security and Fellowship: The Table of Showbread held the twelve loaves representing the twelve tribes of Israel in perpetual communion with God. The handbreadth-wide frame functioned to keep these holy loaves and vessels from sliding off the table during transport. Symbolically, this illustrates God’s protective boundaries—He secures and preserves His people and the fellowship they share with Him, keeping them safe under His sovereign care.</w:t>
      </w:r>
    </w:p>
    <w:p w14:paraId="6699583D" w14:textId="77777777" w:rsidR="00D6100D" w:rsidRDefault="00D6100D"/>
    <w:p w14:paraId="273534F6" w14:textId="77777777" w:rsidR="00D6100D" w:rsidRPr="00D6100D" w:rsidRDefault="00D6100D">
      <w:pPr>
        <w:rPr>
          <w:b/>
        </w:rPr>
      </w:pPr>
      <w:r w:rsidRPr="00D6100D">
        <w:rPr>
          <w:b/>
        </w:rPr>
        <w:t>5. Contextual Nuance in the Passage</w:t>
      </w:r>
    </w:p>
    <w:p w14:paraId="75145A87" w14:textId="77777777" w:rsidR="00D6100D" w:rsidRDefault="00D6100D">
      <w:r>
        <w:t>In Exodus 25:25, the handbreadth defines the width of the wooden frame or rim (mịsgeret) surrounding the Table of Showbread. This frame was to be overlaid with pure gold and finished with a gold molding. The handbreadth-wide border served both an aesthetic and a structural purpose. It elevated the table's appearance, giving it a raised, crowned border, while physically stabilizing the sacred bread as the priests carried the table through the rugged wilderness. The measurement ensures the perfect proportion of the table, balancing beauty with practical utility in the service of the sanctuary.</w:t>
      </w:r>
    </w:p>
    <w:p w14:paraId="7A9D14F4" w14:textId="77777777" w:rsidR="00D6100D" w:rsidRDefault="00D6100D"/>
    <w:p w14:paraId="7A924092" w14:textId="77777777" w:rsidR="00D6100D" w:rsidRPr="00D6100D" w:rsidRDefault="00D6100D">
      <w:pPr>
        <w:rPr>
          <w:b/>
        </w:rPr>
      </w:pPr>
      <w:r w:rsidRPr="00D6100D">
        <w:rPr>
          <w:b/>
        </w:rPr>
        <w:t>6. Key Uses in Other Verses (NKJV)</w:t>
      </w:r>
    </w:p>
    <w:p w14:paraId="1B728B4E" w14:textId="77777777" w:rsidR="00D6100D" w:rsidRDefault="00D6100D">
      <w:r>
        <w:t>• 1 Kings 7:26 - "It was a handbreadth thick; and its brim was shaped like the brim of a cup, like a lily blossom."</w:t>
      </w:r>
    </w:p>
    <w:p w14:paraId="678C9199" w14:textId="77777777" w:rsidR="00D6100D" w:rsidRDefault="00D6100D">
      <w:r>
        <w:t>• Psalm 39:5 - "Indeed, You have made my days as handbreadths, And my age is as nothing before You..."</w:t>
      </w:r>
    </w:p>
    <w:p w14:paraId="7B59FAE2" w14:textId="77777777" w:rsidR="00D6100D" w:rsidRDefault="00D6100D">
      <w:r>
        <w:t>• Ezekiel 40:5 - "...and in the man’s hand a measuring rod of six cubits long, each being a cubit and a handbreadth."</w:t>
      </w:r>
    </w:p>
    <w:p w14:paraId="3F3E9B95" w14:textId="77777777" w:rsidR="00D6100D" w:rsidRDefault="00D6100D">
      <w:r>
        <w:t>• Ezekiel 40:43 - "Inside were hooks, a handbreadth wide, fastened all around; and the flesh of the sacrifices was on the tables."</w:t>
      </w:r>
    </w:p>
    <w:p w14:paraId="323E8A4C" w14:textId="77777777" w:rsidR="00D6100D" w:rsidRDefault="00D6100D"/>
    <w:p w14:paraId="61947DA5" w14:textId="77777777" w:rsidR="00D6100D" w:rsidRPr="00D6100D" w:rsidRDefault="00D6100D">
      <w:pPr>
        <w:rPr>
          <w:b/>
        </w:rPr>
      </w:pPr>
      <w:r w:rsidRPr="00D6100D">
        <w:rPr>
          <w:b/>
        </w:rPr>
        <w:t>7. Other Relevant Insights</w:t>
      </w:r>
    </w:p>
    <w:p w14:paraId="55D09B48" w14:textId="77777777" w:rsidR="00D6100D" w:rsidRDefault="00D6100D">
      <w:r>
        <w:t>In Ezekiel’s vision of the future temple (Ezekiel 40), the measuring rod used by the angelic guide is composed of cubits that are "a cubit and a handbreadth" long. This refers to the larger royal cubit. By using this larger measurement, the text implies that the future temple will exceed the dimensions of the past tabernacle and temple. This extra handbreadth signals an escalation of glory, holiness, and divine presence in the ultimate worship of God.</w:t>
      </w:r>
    </w:p>
    <w:p w14:paraId="7CCF56D5" w14:textId="77777777" w:rsidR="00D6100D" w:rsidRDefault="00D6100D"/>
    <w:p w14:paraId="5F2C3BA2" w14:textId="77777777" w:rsidR="00D6100D" w:rsidRPr="00D6100D" w:rsidRDefault="00D6100D">
      <w:pPr>
        <w:rPr>
          <w:b/>
        </w:rPr>
      </w:pPr>
      <w:r w:rsidRPr="00D6100D">
        <w:rPr>
          <w:b/>
        </w:rPr>
        <w:t>8. References</w:t>
      </w:r>
    </w:p>
    <w:p w14:paraId="0A904E27" w14:textId="77777777" w:rsidR="00D6100D" w:rsidRDefault="00D6100D">
      <w:r>
        <w:t>• Brown-Driver-Briggs Hebrew and English Lexicon</w:t>
      </w:r>
    </w:p>
    <w:p w14:paraId="36EBD9AF" w14:textId="77777777" w:rsidR="00D6100D" w:rsidRDefault="00D6100D">
      <w:r>
        <w:t>• Hebrew and Aramaic Lexicon of the Old Testament by Koehler and Baumgartner</w:t>
      </w:r>
    </w:p>
    <w:p w14:paraId="6B7A310E" w14:textId="77777777" w:rsidR="00D6100D" w:rsidRDefault="00D6100D">
      <w:r>
        <w:t>• Theological Wordbook of the Old Testament</w:t>
      </w:r>
    </w:p>
    <w:p w14:paraId="53F7872F" w14:textId="77777777" w:rsidR="00D6100D" w:rsidRDefault="00D6100D">
      <w:r>
        <w:t>• Vine's Complete Expository Dictionary of Old and New Testament Words</w:t>
      </w:r>
    </w:p>
    <w:p w14:paraId="6B0EA22F" w14:textId="49CFDAFB" w:rsidR="004C5552" w:rsidRDefault="00D6100D">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100D"/>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DA33"/>
  <w15:chartTrackingRefBased/>
  <w15:docId w15:val="{D4D44EC3-4CC1-4BA7-BA9B-B33DDF78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00D"/>
    <w:rPr>
      <w:rFonts w:eastAsiaTheme="majorEastAsia" w:cstheme="majorBidi"/>
      <w:color w:val="272727" w:themeColor="text1" w:themeTint="D8"/>
    </w:rPr>
  </w:style>
  <w:style w:type="paragraph" w:styleId="Title">
    <w:name w:val="Title"/>
    <w:basedOn w:val="Normal"/>
    <w:next w:val="Normal"/>
    <w:link w:val="TitleChar"/>
    <w:uiPriority w:val="10"/>
    <w:qFormat/>
    <w:rsid w:val="00D6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00D"/>
    <w:pPr>
      <w:spacing w:before="160"/>
      <w:jc w:val="center"/>
    </w:pPr>
    <w:rPr>
      <w:i/>
      <w:iCs/>
      <w:color w:val="404040" w:themeColor="text1" w:themeTint="BF"/>
    </w:rPr>
  </w:style>
  <w:style w:type="character" w:customStyle="1" w:styleId="QuoteChar">
    <w:name w:val="Quote Char"/>
    <w:basedOn w:val="DefaultParagraphFont"/>
    <w:link w:val="Quote"/>
    <w:uiPriority w:val="29"/>
    <w:rsid w:val="00D6100D"/>
    <w:rPr>
      <w:i/>
      <w:iCs/>
      <w:color w:val="404040" w:themeColor="text1" w:themeTint="BF"/>
    </w:rPr>
  </w:style>
  <w:style w:type="paragraph" w:styleId="ListParagraph">
    <w:name w:val="List Paragraph"/>
    <w:basedOn w:val="Normal"/>
    <w:uiPriority w:val="34"/>
    <w:qFormat/>
    <w:rsid w:val="00D6100D"/>
    <w:pPr>
      <w:ind w:left="720"/>
      <w:contextualSpacing/>
    </w:pPr>
  </w:style>
  <w:style w:type="character" w:styleId="IntenseEmphasis">
    <w:name w:val="Intense Emphasis"/>
    <w:basedOn w:val="DefaultParagraphFont"/>
    <w:uiPriority w:val="21"/>
    <w:qFormat/>
    <w:rsid w:val="00D6100D"/>
    <w:rPr>
      <w:i/>
      <w:iCs/>
      <w:color w:val="2E74B5" w:themeColor="accent1" w:themeShade="BF"/>
    </w:rPr>
  </w:style>
  <w:style w:type="paragraph" w:styleId="IntenseQuote">
    <w:name w:val="Intense Quote"/>
    <w:basedOn w:val="Normal"/>
    <w:next w:val="Normal"/>
    <w:link w:val="IntenseQuoteChar"/>
    <w:uiPriority w:val="30"/>
    <w:qFormat/>
    <w:rsid w:val="00D61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100D"/>
    <w:rPr>
      <w:i/>
      <w:iCs/>
      <w:color w:val="2E74B5" w:themeColor="accent1" w:themeShade="BF"/>
    </w:rPr>
  </w:style>
  <w:style w:type="character" w:styleId="IntenseReference">
    <w:name w:val="Intense Reference"/>
    <w:basedOn w:val="DefaultParagraphFont"/>
    <w:uiPriority w:val="32"/>
    <w:qFormat/>
    <w:rsid w:val="00D610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