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6036" w14:textId="77777777" w:rsidR="004640A6" w:rsidRPr="004640A6" w:rsidRDefault="004640A6">
      <w:pPr>
        <w:rPr>
          <w:b/>
        </w:rPr>
      </w:pPr>
      <w:r w:rsidRPr="004640A6">
        <w:rPr>
          <w:b/>
        </w:rPr>
        <w:t>SHOWBREAD - ( lechem , Strong's H3899 )</w:t>
      </w:r>
    </w:p>
    <w:p w14:paraId="29E63DCF" w14:textId="77777777" w:rsidR="004640A6" w:rsidRDefault="004640A6">
      <w:r w:rsidRPr="004640A6">
        <w:rPr>
          <w:b/>
        </w:rPr>
        <w:t>Summary:</w:t>
      </w:r>
    </w:p>
    <w:p w14:paraId="018B1929" w14:textId="77777777" w:rsidR="004640A6" w:rsidRDefault="004640A6">
      <w:r>
        <w:t>In Exodus 25:30, the English NKJV word "showbread" translates the Hebrew phrase lechem panim (literally, "bread of the Presence" or "bread of the faces"). Strong's H3899 represents the first word in this construction, lechem, which means bread, food, or grain. In the context of Tabernacle worship, this bread consisted of twelve loaves set on a golden table in the Holy Place, directly before the veil that separated it from the Holy of Holies. It served as a perpetual symbol of God's abiding presence, His faithful covenant relationship with the twelve tribes of Israel, and His constant, life-sustaining provision for His people.</w:t>
      </w:r>
    </w:p>
    <w:p w14:paraId="4E278ABC" w14:textId="77777777" w:rsidR="004640A6" w:rsidRDefault="004640A6"/>
    <w:p w14:paraId="11CDCF48" w14:textId="77777777" w:rsidR="004640A6" w:rsidRDefault="004640A6">
      <w:r w:rsidRPr="004640A6">
        <w:rPr>
          <w:b/>
        </w:rPr>
        <w:t>Full Study:</w:t>
      </w:r>
    </w:p>
    <w:p w14:paraId="4CA8E865" w14:textId="77777777" w:rsidR="004640A6" w:rsidRDefault="004640A6"/>
    <w:p w14:paraId="16EA8EF8" w14:textId="77777777" w:rsidR="004640A6" w:rsidRPr="004640A6" w:rsidRDefault="004640A6">
      <w:pPr>
        <w:rPr>
          <w:b/>
        </w:rPr>
      </w:pPr>
      <w:r w:rsidRPr="004640A6">
        <w:rPr>
          <w:b/>
        </w:rPr>
        <w:t>1. Word Picture / Background</w:t>
      </w:r>
    </w:p>
    <w:p w14:paraId="431F5C77" w14:textId="77777777" w:rsidR="004640A6" w:rsidRDefault="004640A6">
      <w:r>
        <w:t>The Hebrew noun lechem (H3899) derives from a root meaning to consume or to eat. It is the most common Old Testament word for bread or food in general. When combined with panim (H6440, meaning faces or presence), it creates the unique idiom lechem panim, meaning "bread of the face" or "bread of the Presence." Historically, the English term "showbread" (or "shewbread") was coined by William Tyndale to capture the idea of bread that is "shown" or displayed before the Lord. In the ancient Near Eastern cultural context, deities were routinely presented with food offerings. However, in Israel's covenant worship, the bread was not meant to feed a hungry God. Instead, it was a symbolic meal indicating table fellowship, communion, and covenant between Yahweh and the twelve tribes. The twelve loaves were arranged in two rows of six, made of fine flour, and replaced every Sabbath.</w:t>
      </w:r>
    </w:p>
    <w:p w14:paraId="034CC11C" w14:textId="77777777" w:rsidR="004640A6" w:rsidRDefault="004640A6"/>
    <w:p w14:paraId="32BCAF58" w14:textId="77777777" w:rsidR="004640A6" w:rsidRPr="004640A6" w:rsidRDefault="004640A6">
      <w:pPr>
        <w:rPr>
          <w:b/>
        </w:rPr>
      </w:pPr>
      <w:r w:rsidRPr="004640A6">
        <w:rPr>
          <w:b/>
        </w:rPr>
        <w:t>2. Meaning / Lexical Definition</w:t>
      </w:r>
    </w:p>
    <w:p w14:paraId="09F003BB" w14:textId="77777777" w:rsidR="004640A6" w:rsidRDefault="004640A6">
      <w:r>
        <w:t>The noun lechem (H3899) refers to bread, a loaf of bread, food, or grain. It is the basic staple of human life and sustenance. In the construct chain lechem hapannim (Exodus 25:30) or simply lechem panim, the literal definition is "bread of the Presence" or "bread of the face." The word panim refers to the face or presence of God. Thus, the lexical focus of this term is not merely physical sustenance, but bread that exists in the immediate, face-to-face presence of Yahweh. In other passages, this same bread is called lechem hamareket ("bread of the pile" or "bread of the arrangement" in 1 Chronicles 9:32) or lechem hattamid ("continual bread" in Numbers 4:7).</w:t>
      </w:r>
    </w:p>
    <w:p w14:paraId="3F1B93EE" w14:textId="77777777" w:rsidR="004640A6" w:rsidRDefault="004640A6"/>
    <w:p w14:paraId="468BC2FA" w14:textId="77777777" w:rsidR="004640A6" w:rsidRPr="004640A6" w:rsidRDefault="004640A6">
      <w:pPr>
        <w:rPr>
          <w:b/>
        </w:rPr>
      </w:pPr>
      <w:r w:rsidRPr="004640A6">
        <w:rPr>
          <w:b/>
        </w:rPr>
        <w:t>3. Usage and Word Pictures</w:t>
      </w:r>
    </w:p>
    <w:p w14:paraId="70CB58EB" w14:textId="77777777" w:rsidR="004640A6" w:rsidRDefault="004640A6">
      <w:r>
        <w:t>Bread is a primary biblical word picture for life, sustenance, and divine provision. To have bread is to have life; to lack bread is to perish. By placing lechem continually before the panim (Presence) of God, the Tabernacle ritual illustrated that Israel’s physical and spiritual life was sustained entirely by being in God's presence. The arrangement of the twelve loaves represented the twelve tribes of Israel. The word picture is one of constant, unbroken communion: all twelve tribes are represented and presented "before the face" of God at all times. The frankincense placed on the rows of bread (Leviticus 24:7) served as a memorial portion, turning the bread into a visual and aromatic prayer of thanksgiving rising up to God.</w:t>
      </w:r>
    </w:p>
    <w:p w14:paraId="7ABBD438" w14:textId="77777777" w:rsidR="004640A6" w:rsidRDefault="004640A6"/>
    <w:p w14:paraId="525544D9" w14:textId="77777777" w:rsidR="004640A6" w:rsidRPr="004640A6" w:rsidRDefault="004640A6">
      <w:pPr>
        <w:rPr>
          <w:b/>
        </w:rPr>
      </w:pPr>
      <w:r w:rsidRPr="004640A6">
        <w:rPr>
          <w:b/>
        </w:rPr>
        <w:t>4. Theological Implications</w:t>
      </w:r>
    </w:p>
    <w:p w14:paraId="41627447" w14:textId="77777777" w:rsidR="004640A6" w:rsidRDefault="004640A6">
      <w:r>
        <w:t>• Covenant Fellowship: Eating together in the ancient world was a seal of peace and covenant. The showbread table signifies that God has entered into a permanent, peaceful relationship with His people, inviting them to His table.</w:t>
      </w:r>
    </w:p>
    <w:p w14:paraId="7ED6B06B" w14:textId="77777777" w:rsidR="004640A6" w:rsidRDefault="004640A6">
      <w:r>
        <w:t>• Divine Provision: The bread acknowledges that all physical sustenance comes from God. Israel's agricultural abundance was a gift from the Lord of the covenant.</w:t>
      </w:r>
    </w:p>
    <w:p w14:paraId="0E8428DC" w14:textId="77777777" w:rsidR="004640A6" w:rsidRDefault="004640A6">
      <w:r>
        <w:t>• The Presence of God: The primary theological reality is the availability of God's presence. The bread sits "before Me always" (lepanay tamid). God desires His people to dwell in His sight.</w:t>
      </w:r>
    </w:p>
    <w:p w14:paraId="351E4ADF" w14:textId="77777777" w:rsidR="004640A6" w:rsidRDefault="004640A6">
      <w:r>
        <w:t>• Christological Fulfillment: In the New Testament, Jesus declares, "I am the bread of life" (John 6:35). The showbread prefigures Christ, who is the true Bread of the Presence, bringing believers into direct communion with the Father and sustaining spiritual life eternally.</w:t>
      </w:r>
    </w:p>
    <w:p w14:paraId="20C067E5" w14:textId="77777777" w:rsidR="004640A6" w:rsidRDefault="004640A6"/>
    <w:p w14:paraId="14E88286" w14:textId="77777777" w:rsidR="004640A6" w:rsidRPr="004640A6" w:rsidRDefault="004640A6">
      <w:pPr>
        <w:rPr>
          <w:b/>
        </w:rPr>
      </w:pPr>
      <w:r w:rsidRPr="004640A6">
        <w:rPr>
          <w:b/>
        </w:rPr>
        <w:t>5. Contextual Nuance in the Passage</w:t>
      </w:r>
    </w:p>
    <w:p w14:paraId="3018C8E1" w14:textId="77777777" w:rsidR="004640A6" w:rsidRDefault="004640A6">
      <w:r>
        <w:t>In Exodus 25, God gives Moses instructions for building the Tabernacle. The table of showbread is described immediately after the Ark of the Covenant and the Mercy Seat. This sequence is significant: the Ark represents God's throne of grace and law, while the Table of Showbread represents God's provision and desire for fellowship with His people. The phrase "before Me always" (lepanay tamid) emphasizes the perpetual nature of this offering. There was never a moment when the table was empty. This highlights the unending character of God’s covenantal care and the continuous representation of His people before Him.</w:t>
      </w:r>
    </w:p>
    <w:p w14:paraId="27442765" w14:textId="77777777" w:rsidR="004640A6" w:rsidRDefault="004640A6"/>
    <w:p w14:paraId="560D8B9A" w14:textId="77777777" w:rsidR="004640A6" w:rsidRPr="004640A6" w:rsidRDefault="004640A6">
      <w:pPr>
        <w:rPr>
          <w:b/>
        </w:rPr>
      </w:pPr>
      <w:r w:rsidRPr="004640A6">
        <w:rPr>
          <w:b/>
        </w:rPr>
        <w:t>6. Key Uses in Other Verses (NKJV)</w:t>
      </w:r>
    </w:p>
    <w:p w14:paraId="1087B9A1" w14:textId="77777777" w:rsidR="004640A6" w:rsidRDefault="004640A6">
      <w:r>
        <w:t>• Numbers 4:7 – "On the table of showbread they shall spread a blue cloth... and the showbread shall be on it."</w:t>
      </w:r>
    </w:p>
    <w:p w14:paraId="32BEDCE6" w14:textId="77777777" w:rsidR="004640A6" w:rsidRDefault="004640A6">
      <w:r>
        <w:t>• 1 Samuel 21:6 – "So the priest gave him holy bread; for there was no bread there but the showbread which had been taken from before the LORD..."</w:t>
      </w:r>
    </w:p>
    <w:p w14:paraId="61DBE86D" w14:textId="77777777" w:rsidR="004640A6" w:rsidRDefault="004640A6">
      <w:r>
        <w:t>• 1 Chronicles 9:32 – "And some of their brethren of the sons of the Kohathites were in charge of the showbread, to prepare it every Sabbath."</w:t>
      </w:r>
    </w:p>
    <w:p w14:paraId="3FDEEB48" w14:textId="77777777" w:rsidR="004640A6" w:rsidRDefault="004640A6">
      <w:r>
        <w:t>• Nehemiah 10:33 – "for the showbread, for the regular grain offering, for the regular burnt offering..."</w:t>
      </w:r>
    </w:p>
    <w:p w14:paraId="009B23AE" w14:textId="77777777" w:rsidR="004640A6" w:rsidRDefault="004640A6"/>
    <w:p w14:paraId="5791AE44" w14:textId="77777777" w:rsidR="004640A6" w:rsidRPr="004640A6" w:rsidRDefault="004640A6">
      <w:pPr>
        <w:rPr>
          <w:b/>
        </w:rPr>
      </w:pPr>
      <w:r w:rsidRPr="004640A6">
        <w:rPr>
          <w:b/>
        </w:rPr>
        <w:t>7. Other Relevant Insights</w:t>
      </w:r>
    </w:p>
    <w:p w14:paraId="52D62492" w14:textId="77777777" w:rsidR="004640A6" w:rsidRDefault="004640A6">
      <w:r>
        <w:t>• The table of showbread was made of acacia wood overlaid with pure gold, measuring two cubits long, one cubit wide, and a cubit and a half high, reflecting the high value and sacredness of the fellowship it represented.</w:t>
      </w:r>
    </w:p>
    <w:p w14:paraId="3CC99597" w14:textId="77777777" w:rsidR="004640A6" w:rsidRDefault="004640A6">
      <w:r>
        <w:t>• The New Testament equivalent of this term is prothesis tōn artōn (literally, "the setting forth of the loaves") or artoi tēs protheseōs ("bread of presentation"), as seen in Matthew 12:4 and Hebrews 9:2.</w:t>
      </w:r>
    </w:p>
    <w:p w14:paraId="13AFFCA5" w14:textId="77777777" w:rsidR="004640A6" w:rsidRDefault="004640A6">
      <w:r>
        <w:t>• The ancient Jewish historian Josephus and rabbinic literature in the Mishnah (Menachot) detail the elaborate procedures the priests used to bake and replace the loaves without ever leaving the table empty, ensuring the "continual" aspect was literally maintained.</w:t>
      </w:r>
    </w:p>
    <w:p w14:paraId="6F35ABD9" w14:textId="77777777" w:rsidR="004640A6" w:rsidRDefault="004640A6"/>
    <w:p w14:paraId="3DEC2ABB" w14:textId="77777777" w:rsidR="004640A6" w:rsidRPr="004640A6" w:rsidRDefault="004640A6">
      <w:pPr>
        <w:rPr>
          <w:b/>
        </w:rPr>
      </w:pPr>
      <w:r w:rsidRPr="004640A6">
        <w:rPr>
          <w:b/>
        </w:rPr>
        <w:t>8. References</w:t>
      </w:r>
    </w:p>
    <w:p w14:paraId="568FDD00" w14:textId="77777777" w:rsidR="004640A6" w:rsidRDefault="004640A6">
      <w:r>
        <w:t>• Brown-Driver-Briggs Hebrew and English Lexicon</w:t>
      </w:r>
    </w:p>
    <w:p w14:paraId="6A673E87" w14:textId="77777777" w:rsidR="004640A6" w:rsidRDefault="004640A6">
      <w:r>
        <w:t>• Theological Wordbook of the Old Testament</w:t>
      </w:r>
    </w:p>
    <w:p w14:paraId="6B0B1C32" w14:textId="77777777" w:rsidR="004640A6" w:rsidRDefault="004640A6">
      <w:r>
        <w:t>• Hebrew-Aramaic Lexicon of the Old Testament</w:t>
      </w:r>
    </w:p>
    <w:p w14:paraId="1B055F2E" w14:textId="77777777" w:rsidR="004640A6" w:rsidRDefault="004640A6">
      <w:r>
        <w:t>• Vine's Complete Expository Dictionary of Old and New Testament Words</w:t>
      </w:r>
    </w:p>
    <w:p w14:paraId="67F1EB9D" w14:textId="77777777" w:rsidR="004640A6" w:rsidRDefault="004640A6">
      <w:r>
        <w:t>• Wycliffe Bible Commentary</w:t>
      </w:r>
    </w:p>
    <w:p w14:paraId="56F6E296" w14:textId="46E8DFF2" w:rsidR="004C5552" w:rsidRDefault="004640A6">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0A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640A6"/>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05AB1"/>
  <w15:chartTrackingRefBased/>
  <w15:docId w15:val="{B95801C4-D631-4FF7-ACAE-CF078B94A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4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4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0A6"/>
    <w:rPr>
      <w:rFonts w:eastAsiaTheme="majorEastAsia" w:cstheme="majorBidi"/>
      <w:color w:val="272727" w:themeColor="text1" w:themeTint="D8"/>
    </w:rPr>
  </w:style>
  <w:style w:type="paragraph" w:styleId="Title">
    <w:name w:val="Title"/>
    <w:basedOn w:val="Normal"/>
    <w:next w:val="Normal"/>
    <w:link w:val="TitleChar"/>
    <w:uiPriority w:val="10"/>
    <w:qFormat/>
    <w:rsid w:val="00464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0A6"/>
    <w:pPr>
      <w:spacing w:before="160"/>
      <w:jc w:val="center"/>
    </w:pPr>
    <w:rPr>
      <w:i/>
      <w:iCs/>
      <w:color w:val="404040" w:themeColor="text1" w:themeTint="BF"/>
    </w:rPr>
  </w:style>
  <w:style w:type="character" w:customStyle="1" w:styleId="QuoteChar">
    <w:name w:val="Quote Char"/>
    <w:basedOn w:val="DefaultParagraphFont"/>
    <w:link w:val="Quote"/>
    <w:uiPriority w:val="29"/>
    <w:rsid w:val="004640A6"/>
    <w:rPr>
      <w:i/>
      <w:iCs/>
      <w:color w:val="404040" w:themeColor="text1" w:themeTint="BF"/>
    </w:rPr>
  </w:style>
  <w:style w:type="paragraph" w:styleId="ListParagraph">
    <w:name w:val="List Paragraph"/>
    <w:basedOn w:val="Normal"/>
    <w:uiPriority w:val="34"/>
    <w:qFormat/>
    <w:rsid w:val="004640A6"/>
    <w:pPr>
      <w:ind w:left="720"/>
      <w:contextualSpacing/>
    </w:pPr>
  </w:style>
  <w:style w:type="character" w:styleId="IntenseEmphasis">
    <w:name w:val="Intense Emphasis"/>
    <w:basedOn w:val="DefaultParagraphFont"/>
    <w:uiPriority w:val="21"/>
    <w:qFormat/>
    <w:rsid w:val="004640A6"/>
    <w:rPr>
      <w:i/>
      <w:iCs/>
      <w:color w:val="2E74B5" w:themeColor="accent1" w:themeShade="BF"/>
    </w:rPr>
  </w:style>
  <w:style w:type="paragraph" w:styleId="IntenseQuote">
    <w:name w:val="Intense Quote"/>
    <w:basedOn w:val="Normal"/>
    <w:next w:val="Normal"/>
    <w:link w:val="IntenseQuoteChar"/>
    <w:uiPriority w:val="30"/>
    <w:qFormat/>
    <w:rsid w:val="004640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40A6"/>
    <w:rPr>
      <w:i/>
      <w:iCs/>
      <w:color w:val="2E74B5" w:themeColor="accent1" w:themeShade="BF"/>
    </w:rPr>
  </w:style>
  <w:style w:type="character" w:styleId="IntenseReference">
    <w:name w:val="Intense Reference"/>
    <w:basedOn w:val="DefaultParagraphFont"/>
    <w:uiPriority w:val="32"/>
    <w:qFormat/>
    <w:rsid w:val="004640A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5246</Characters>
  <Application>Microsoft Office Word</Application>
  <DocSecurity>0</DocSecurity>
  <Lines>43</Lines>
  <Paragraphs>12</Paragraphs>
  <ScaleCrop>false</ScaleCrop>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