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4EC77" w14:textId="77777777" w:rsidR="003F484B" w:rsidRPr="003F484B" w:rsidRDefault="003F484B">
      <w:pPr>
        <w:rPr>
          <w:b/>
        </w:rPr>
      </w:pPr>
      <w:r w:rsidRPr="003F484B">
        <w:rPr>
          <w:b/>
        </w:rPr>
        <w:t>TENONS - ( yad , Strong's H3027 )</w:t>
      </w:r>
    </w:p>
    <w:p w14:paraId="40AF4738" w14:textId="77777777" w:rsidR="003F484B" w:rsidRDefault="003F484B">
      <w:r w:rsidRPr="003F484B">
        <w:rPr>
          <w:b/>
        </w:rPr>
        <w:t>Summary:</w:t>
      </w:r>
    </w:p>
    <w:p w14:paraId="392A3292" w14:textId="77777777" w:rsidR="003F484B" w:rsidRDefault="003F484B">
      <w:r>
        <w:t>In Exodus 26:17, the Hebrew word translated "tenons" is yad, which literally means "hand." In the architectural description of the Tabernacle, this anatomical term is used metaphorically for the projections or pegs at the bottom of the wooden frames (boards) that slotted into silver sockets. Just as a hand grasps or holds onto something to secure a connection, these "tenons" held the Tabernacle structure firmly together, ensuring stability, alignment, and unity. This concrete, functional imagery highlights the detail, strength, and security built into God’s dwelling place among His people.</w:t>
      </w:r>
    </w:p>
    <w:p w14:paraId="738D9343" w14:textId="77777777" w:rsidR="003F484B" w:rsidRDefault="003F484B"/>
    <w:p w14:paraId="4B7D89BA" w14:textId="77777777" w:rsidR="003F484B" w:rsidRDefault="003F484B">
      <w:r w:rsidRPr="003F484B">
        <w:rPr>
          <w:b/>
        </w:rPr>
        <w:t>Full Study:</w:t>
      </w:r>
    </w:p>
    <w:p w14:paraId="2FEAEA1E" w14:textId="77777777" w:rsidR="003F484B" w:rsidRDefault="003F484B"/>
    <w:p w14:paraId="27553ADC" w14:textId="77777777" w:rsidR="003F484B" w:rsidRPr="003F484B" w:rsidRDefault="003F484B">
      <w:pPr>
        <w:rPr>
          <w:b/>
        </w:rPr>
      </w:pPr>
      <w:r w:rsidRPr="003F484B">
        <w:rPr>
          <w:b/>
        </w:rPr>
        <w:t>1. Word Picture / Background</w:t>
      </w:r>
    </w:p>
    <w:p w14:paraId="37742F4C" w14:textId="77777777" w:rsidR="003F484B" w:rsidRDefault="003F484B">
      <w:r>
        <w:t>The Hebrew noun yad primarily refers to the human hand or forearm. It is one of the most common words in the Old Testament, representing power, agency, direction, or possession. In Exodus 26:17, the author employs this body part metaphorically to describe a construction element. These "hands" of the boards are the projecting pegs or tenons extending from the base of each upright acacia frame. The imagery is of hands reaching down to grasp the heavy silver bases (sockets), securing the entire skeletal framework of the Tabernacle. This organic metaphor suggests that the Tabernacle was not merely a mechanical box but a cohesive, living-like structure where every joint actively "held hands" with its neighbor to withstand the harsh desert winds.</w:t>
      </w:r>
    </w:p>
    <w:p w14:paraId="6D78E25C" w14:textId="77777777" w:rsidR="003F484B" w:rsidRDefault="003F484B"/>
    <w:p w14:paraId="3EE0BE37" w14:textId="77777777" w:rsidR="003F484B" w:rsidRPr="003F484B" w:rsidRDefault="003F484B">
      <w:pPr>
        <w:rPr>
          <w:b/>
        </w:rPr>
      </w:pPr>
      <w:r w:rsidRPr="003F484B">
        <w:rPr>
          <w:b/>
        </w:rPr>
        <w:t>2. Meaning / Lexical Definition</w:t>
      </w:r>
    </w:p>
    <w:p w14:paraId="355C8B57" w14:textId="77777777" w:rsidR="003F484B" w:rsidRDefault="003F484B">
      <w:r>
        <w:t>In its primary sense, yad means hand, paw, or side. When applied to architecture or objects, it refers to a projection, stay, support, axle, or tenon. In the context of the Tabernacle frames, it denotes the male portions of a mortise-and-tenon joint—specifically, two parallel projections at the foot of each upright acacia frame. The cognate Semitic languages similarly use "hand" for various handles, projections, or indicators. In this passage, the plural form yadot designates these specific structural tabs designed to fit perfectly into the mortises of the heavy silver sockets below.</w:t>
      </w:r>
    </w:p>
    <w:p w14:paraId="34F8E9B2" w14:textId="77777777" w:rsidR="003F484B" w:rsidRDefault="003F484B"/>
    <w:p w14:paraId="0735D829" w14:textId="77777777" w:rsidR="003F484B" w:rsidRPr="003F484B" w:rsidRDefault="003F484B">
      <w:pPr>
        <w:rPr>
          <w:b/>
        </w:rPr>
      </w:pPr>
      <w:r w:rsidRPr="003F484B">
        <w:rPr>
          <w:b/>
        </w:rPr>
        <w:t>3. Usage and Word Pictures</w:t>
      </w:r>
    </w:p>
    <w:p w14:paraId="5162BFEC" w14:textId="77777777" w:rsidR="003F484B" w:rsidRDefault="003F484B">
      <w:r>
        <w:t xml:space="preserve">The word yad is used extensively throughout the Old Testament to convey abstract concepts through physical actions of the hand. </w:t>
      </w:r>
    </w:p>
    <w:p w14:paraId="09A3019B" w14:textId="77777777" w:rsidR="003F484B" w:rsidRDefault="003F484B">
      <w:r>
        <w:t>• It represents power or control, as in "the hand of Pharaoh" (Exodus 3:19) or "the hand of the Lord" (Joshua 4:24).</w:t>
      </w:r>
    </w:p>
    <w:p w14:paraId="73DF9589" w14:textId="77777777" w:rsidR="003F484B" w:rsidRDefault="003F484B">
      <w:r>
        <w:t>• It indicates agency or means, often translated "by the hand of" (Leviticus 8:36).</w:t>
      </w:r>
    </w:p>
    <w:p w14:paraId="6FC9998C" w14:textId="77777777" w:rsidR="003F484B" w:rsidRDefault="003F484B">
      <w:r>
        <w:t>• It represents a monument or signpost, literally a "hand" set up to point the way or commemorate an event (1 Samuel 15:12; Isaiah 56:5).</w:t>
      </w:r>
    </w:p>
    <w:p w14:paraId="446A31D3" w14:textId="77777777" w:rsidR="003F484B" w:rsidRDefault="003F484B">
      <w:r>
        <w:t>• In architectural settings, it describes stays or supports, such as the "stays" (yadot) on the side of Solomon’s throne (1 Kings 10:19) or the "axles" of the bronze carts in the temple (1 Kings 7:32). This consistent use of "hand" for structural supports emphasizes holding, stabilizing, and carrying weight.</w:t>
      </w:r>
    </w:p>
    <w:p w14:paraId="4287AEB8" w14:textId="77777777" w:rsidR="003F484B" w:rsidRDefault="003F484B"/>
    <w:p w14:paraId="3285A921" w14:textId="77777777" w:rsidR="003F484B" w:rsidRPr="003F484B" w:rsidRDefault="003F484B">
      <w:pPr>
        <w:rPr>
          <w:b/>
        </w:rPr>
      </w:pPr>
      <w:r w:rsidRPr="003F484B">
        <w:rPr>
          <w:b/>
        </w:rPr>
        <w:t>4. Theological Implications</w:t>
      </w:r>
    </w:p>
    <w:p w14:paraId="7D667692" w14:textId="77777777" w:rsidR="003F484B" w:rsidRDefault="003F484B">
      <w:r>
        <w:t>The Tabernacle is a visible representation of God dwelling among His people, a type of Christ (John 1:14) and of the Church (Ephesians 2:21-22). The detail that each board had two "hands" locking into silver sockets carries rich theological significance. Silver in the sanctuary represents redemption money (Exodus 30:11-16). The "hands" of the boards resting in the silver sockets symbolize the entire community of faith being anchored in and supported by redemption. Furthermore, the tenons were "bound together to one another" (literally, "joined like sisters"), illustrating the biblical theme of unity, interdependence, and mutual support within the household of faith, where every joint supplies what is needed (Ephesians 4:16).</w:t>
      </w:r>
    </w:p>
    <w:p w14:paraId="45FB1ED3" w14:textId="77777777" w:rsidR="003F484B" w:rsidRDefault="003F484B"/>
    <w:p w14:paraId="4F98603A" w14:textId="77777777" w:rsidR="003F484B" w:rsidRPr="003F484B" w:rsidRDefault="003F484B">
      <w:pPr>
        <w:rPr>
          <w:b/>
        </w:rPr>
      </w:pPr>
      <w:r w:rsidRPr="003F484B">
        <w:rPr>
          <w:b/>
        </w:rPr>
        <w:t>5. Contextual Nuance in the Passage</w:t>
      </w:r>
    </w:p>
    <w:p w14:paraId="2B72EE69" w14:textId="77777777" w:rsidR="003F484B" w:rsidRDefault="003F484B">
      <w:r>
        <w:t>In Exodus 26:17, the instructions specify "two tenons (yadot) shall be in each board for binding them together to one another." The Hebrew verb shalab, translated "binding together" or "equally distant," carries the idea of rungs on a ladder or parallel joints. The parallel "hands" of each board had to align perfectly with the next board so that there were no gaps in the sanctuary wall. If one tenon was misaligned, the structural integrity of the entire wall would be compromised. The contextual focus is on exactness, stability, and seamless alignment, reflecting the orderly and perfect nature of God's design.</w:t>
      </w:r>
    </w:p>
    <w:p w14:paraId="39F6679E" w14:textId="77777777" w:rsidR="003F484B" w:rsidRDefault="003F484B"/>
    <w:p w14:paraId="297C591C" w14:textId="77777777" w:rsidR="003F484B" w:rsidRPr="003F484B" w:rsidRDefault="003F484B">
      <w:pPr>
        <w:rPr>
          <w:b/>
        </w:rPr>
      </w:pPr>
      <w:r w:rsidRPr="003F484B">
        <w:rPr>
          <w:b/>
        </w:rPr>
        <w:t>6. Key Uses in Other Verses (NKJV)</w:t>
      </w:r>
    </w:p>
    <w:p w14:paraId="311D5CB0" w14:textId="77777777" w:rsidR="003F484B" w:rsidRDefault="003F484B">
      <w:r>
        <w:t>Because H3027 is overwhelmingly translated "hand" or "power," the specific architectural rendering of "tenons" is limited to the parallel construction accounts of the Tabernacle frames:</w:t>
      </w:r>
    </w:p>
    <w:p w14:paraId="2638FF6A" w14:textId="77777777" w:rsidR="003F484B" w:rsidRDefault="003F484B">
      <w:r>
        <w:t>• Exodus 26:17 – "Two tenons shall be in each board for binding them together to one another; thus you shall make for all the boards of the tabernacle."</w:t>
      </w:r>
    </w:p>
    <w:p w14:paraId="0C1A5D30" w14:textId="77777777" w:rsidR="003F484B" w:rsidRDefault="003F484B">
      <w:r>
        <w:t>• Exodus 36:22 – "Each board had two tenons for binding them together to one another; thus he made for all the boards of the tabernacle."</w:t>
      </w:r>
    </w:p>
    <w:p w14:paraId="43005DF8" w14:textId="77777777" w:rsidR="003F484B" w:rsidRDefault="003F484B">
      <w:r>
        <w:t>• 1 Kings 7:32 – "Under the panels were the four wheels, and the axles of the wheels were joined to the cart. The height of a wheel was a cubit and a half." (Here, "axles" translates yadot, the "hands" of the wheels).</w:t>
      </w:r>
    </w:p>
    <w:p w14:paraId="73F5E65B" w14:textId="77777777" w:rsidR="003F484B" w:rsidRDefault="003F484B">
      <w:r>
        <w:t>• 1 Kings 10:19 – "The throne had six steps, and the top of the throne was round at the back; there were armrests on either side of the place of the seat, and two lions stood beside the armrests." (Here, "armrests" translates yadot, the "hands" of the seat).</w:t>
      </w:r>
    </w:p>
    <w:p w14:paraId="152113C4" w14:textId="77777777" w:rsidR="003F484B" w:rsidRDefault="003F484B"/>
    <w:p w14:paraId="6AA990E2" w14:textId="77777777" w:rsidR="003F484B" w:rsidRPr="003F484B" w:rsidRDefault="003F484B">
      <w:pPr>
        <w:rPr>
          <w:b/>
        </w:rPr>
      </w:pPr>
      <w:r w:rsidRPr="003F484B">
        <w:rPr>
          <w:b/>
        </w:rPr>
        <w:t>7. Other Relevant Insights</w:t>
      </w:r>
    </w:p>
    <w:p w14:paraId="37C7BB34" w14:textId="77777777" w:rsidR="003F484B" w:rsidRDefault="003F484B">
      <w:r>
        <w:t>The construction of the Tabernacle frames is an engineering marvel of portability and strength. The acacia boards were approximately 15 feet high and 2.25 feet wide. Standing upright in the desert, they would act like sails in the wind. Without a secure anchoring system, the structure would collapse. The "hands" (tenons) slipping into the massive silver sockets (each weighing about 100 pounds, serving as a heavy foundation) provided the necessary low center of gravity and rigid connection to prevent the boards from tipping or sliding apart. This highlights that God's spiritual designs are always matched with the practical strength required to endure trials.</w:t>
      </w:r>
    </w:p>
    <w:p w14:paraId="443828C4" w14:textId="77777777" w:rsidR="003F484B" w:rsidRDefault="003F484B"/>
    <w:p w14:paraId="1B861427" w14:textId="77777777" w:rsidR="003F484B" w:rsidRPr="003F484B" w:rsidRDefault="003F484B">
      <w:pPr>
        <w:rPr>
          <w:b/>
        </w:rPr>
      </w:pPr>
      <w:r w:rsidRPr="003F484B">
        <w:rPr>
          <w:b/>
        </w:rPr>
        <w:t>8. References</w:t>
      </w:r>
    </w:p>
    <w:p w14:paraId="39C3D9A0" w14:textId="77777777" w:rsidR="003F484B" w:rsidRDefault="003F484B">
      <w:r>
        <w:t>• Brown-Driver-Briggs Hebrew and English Lexicon</w:t>
      </w:r>
    </w:p>
    <w:p w14:paraId="4965E2D1" w14:textId="77777777" w:rsidR="003F484B" w:rsidRDefault="003F484B">
      <w:r>
        <w:t>• Theological Wordbook of the Old Testament</w:t>
      </w:r>
    </w:p>
    <w:p w14:paraId="00421870" w14:textId="77777777" w:rsidR="003F484B" w:rsidRDefault="003F484B">
      <w:r>
        <w:t>• Gesenius' Hebrew and Chaldee Lexicon</w:t>
      </w:r>
    </w:p>
    <w:p w14:paraId="14A79807" w14:textId="77777777" w:rsidR="003F484B" w:rsidRDefault="003F484B">
      <w:r>
        <w:t>• Vine's Expository Dictionary of Old and New Testament Words</w:t>
      </w:r>
    </w:p>
    <w:p w14:paraId="3BFF4102" w14:textId="7C8003C7" w:rsidR="004C5552" w:rsidRDefault="003F484B">
      <w:r>
        <w:t>•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484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3F484B"/>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5C5644"/>
  <w15:chartTrackingRefBased/>
  <w15:docId w15:val="{67D0B4DF-9647-4B5D-8F2D-2A68294A5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F48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48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48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48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F48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48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48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484B"/>
    <w:rPr>
      <w:rFonts w:eastAsiaTheme="majorEastAsia" w:cstheme="majorBidi"/>
      <w:color w:val="272727" w:themeColor="text1" w:themeTint="D8"/>
    </w:rPr>
  </w:style>
  <w:style w:type="paragraph" w:styleId="Title">
    <w:name w:val="Title"/>
    <w:basedOn w:val="Normal"/>
    <w:next w:val="Normal"/>
    <w:link w:val="TitleChar"/>
    <w:uiPriority w:val="10"/>
    <w:qFormat/>
    <w:rsid w:val="003F48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48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48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48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484B"/>
    <w:pPr>
      <w:spacing w:before="160"/>
      <w:jc w:val="center"/>
    </w:pPr>
    <w:rPr>
      <w:i/>
      <w:iCs/>
      <w:color w:val="404040" w:themeColor="text1" w:themeTint="BF"/>
    </w:rPr>
  </w:style>
  <w:style w:type="character" w:customStyle="1" w:styleId="QuoteChar">
    <w:name w:val="Quote Char"/>
    <w:basedOn w:val="DefaultParagraphFont"/>
    <w:link w:val="Quote"/>
    <w:uiPriority w:val="29"/>
    <w:rsid w:val="003F484B"/>
    <w:rPr>
      <w:i/>
      <w:iCs/>
      <w:color w:val="404040" w:themeColor="text1" w:themeTint="BF"/>
    </w:rPr>
  </w:style>
  <w:style w:type="paragraph" w:styleId="ListParagraph">
    <w:name w:val="List Paragraph"/>
    <w:basedOn w:val="Normal"/>
    <w:uiPriority w:val="34"/>
    <w:qFormat/>
    <w:rsid w:val="003F484B"/>
    <w:pPr>
      <w:ind w:left="720"/>
      <w:contextualSpacing/>
    </w:pPr>
  </w:style>
  <w:style w:type="character" w:styleId="IntenseEmphasis">
    <w:name w:val="Intense Emphasis"/>
    <w:basedOn w:val="DefaultParagraphFont"/>
    <w:uiPriority w:val="21"/>
    <w:qFormat/>
    <w:rsid w:val="003F484B"/>
    <w:rPr>
      <w:i/>
      <w:iCs/>
      <w:color w:val="2E74B5" w:themeColor="accent1" w:themeShade="BF"/>
    </w:rPr>
  </w:style>
  <w:style w:type="paragraph" w:styleId="IntenseQuote">
    <w:name w:val="Intense Quote"/>
    <w:basedOn w:val="Normal"/>
    <w:next w:val="Normal"/>
    <w:link w:val="IntenseQuoteChar"/>
    <w:uiPriority w:val="30"/>
    <w:qFormat/>
    <w:rsid w:val="003F484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F484B"/>
    <w:rPr>
      <w:i/>
      <w:iCs/>
      <w:color w:val="2E74B5" w:themeColor="accent1" w:themeShade="BF"/>
    </w:rPr>
  </w:style>
  <w:style w:type="character" w:styleId="IntenseReference">
    <w:name w:val="Intense Reference"/>
    <w:basedOn w:val="DefaultParagraphFont"/>
    <w:uiPriority w:val="32"/>
    <w:qFormat/>
    <w:rsid w:val="003F484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932</Words>
  <Characters>5313</Characters>
  <Application>Microsoft Office Word</Application>
  <DocSecurity>0</DocSecurity>
  <Lines>44</Lines>
  <Paragraphs>12</Paragraphs>
  <ScaleCrop>false</ScaleCrop>
  <Company/>
  <LinksUpToDate>false</LinksUpToDate>
  <CharactersWithSpaces>6233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2026-08-14T10:44:00Z</dcterms:created>
  <dcterms:modified xsi:type="dcterms:W3CDTF">2026-08-14T10:44:00Z</dcterms:modified>
</cp:coreProperties>
</file>