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0364A" w14:textId="77777777" w:rsidR="006D324D" w:rsidRPr="006D324D" w:rsidRDefault="006D324D">
      <w:pPr>
        <w:rPr>
          <w:b/>
        </w:rPr>
      </w:pPr>
      <w:r w:rsidRPr="006D324D">
        <w:rPr>
          <w:b/>
        </w:rPr>
        <w:t>LAMPSTAND - ( menōrâh , Strong's H4501 )</w:t>
      </w:r>
    </w:p>
    <w:p w14:paraId="1768643F" w14:textId="77777777" w:rsidR="006D324D" w:rsidRDefault="006D324D">
      <w:r w:rsidRPr="006D324D">
        <w:rPr>
          <w:b/>
        </w:rPr>
        <w:t>Summary:</w:t>
      </w:r>
    </w:p>
    <w:p w14:paraId="29BE26B5" w14:textId="77777777" w:rsidR="006D324D" w:rsidRDefault="006D324D">
      <w:r>
        <w:t>The Hebrew word menōrâh refers to the golden, seven-branched lampstand designed for the Tabernacle and later the Temple. In Exodus 26:35, it represents the primary source of physical light within the otherwise dark Holy Place, symbolizing the illuminating presence of God, His guidance, and the divine light of His Word. Crafted from a single piece of beaten gold, its design mirrors a flowering tree, blending the themes of life, light, and holiness to illustrate God's sustaining grace for His people.</w:t>
      </w:r>
    </w:p>
    <w:p w14:paraId="697A6994" w14:textId="77777777" w:rsidR="006D324D" w:rsidRDefault="006D324D"/>
    <w:p w14:paraId="35AAD864" w14:textId="77777777" w:rsidR="006D324D" w:rsidRDefault="006D324D">
      <w:r w:rsidRPr="006D324D">
        <w:rPr>
          <w:b/>
        </w:rPr>
        <w:t>Full Study:</w:t>
      </w:r>
    </w:p>
    <w:p w14:paraId="7F707D3E" w14:textId="77777777" w:rsidR="006D324D" w:rsidRDefault="006D324D"/>
    <w:p w14:paraId="1EFE4226" w14:textId="77777777" w:rsidR="006D324D" w:rsidRPr="006D324D" w:rsidRDefault="006D324D">
      <w:pPr>
        <w:rPr>
          <w:b/>
        </w:rPr>
      </w:pPr>
      <w:r w:rsidRPr="006D324D">
        <w:rPr>
          <w:b/>
        </w:rPr>
        <w:t>1. Word Picture / Background</w:t>
      </w:r>
    </w:p>
    <w:p w14:paraId="780BA8B6" w14:textId="77777777" w:rsidR="006D324D" w:rsidRDefault="006D324D">
      <w:r>
        <w:t>• The word menōrâh is derived from the root nîr or nēr, meaning "lamp" or "to shine."</w:t>
      </w:r>
    </w:p>
    <w:p w14:paraId="6163ECA7" w14:textId="77777777" w:rsidR="006D324D" w:rsidRDefault="006D324D">
      <w:r>
        <w:t>• Historically and culturally, the lampstand of the Tabernacle was not a candle holder, as candles were not used in the ancient Near East. Instead, it was an oil-burning lampstand designed to hold seven small clay or metal olive oil lamps on its branches.</w:t>
      </w:r>
    </w:p>
    <w:p w14:paraId="241DC781" w14:textId="77777777" w:rsidR="006D324D" w:rsidRDefault="006D324D">
      <w:r>
        <w:t>• The design instructions in Exodus 25 reveal a striking organic motif. It was fashioned with a central shaft and six branches (three on each side), decorated with almond blossoms, ornamental knobs, and flowers. This imagery evokes the Garden of Eden and the Tree of Life, signifying that God’s presence brings life, growth, and fruitfulness.</w:t>
      </w:r>
    </w:p>
    <w:p w14:paraId="0BF8EB93" w14:textId="77777777" w:rsidR="006D324D" w:rsidRDefault="006D324D"/>
    <w:p w14:paraId="227F5A12" w14:textId="77777777" w:rsidR="006D324D" w:rsidRPr="006D324D" w:rsidRDefault="006D324D">
      <w:pPr>
        <w:rPr>
          <w:b/>
        </w:rPr>
      </w:pPr>
      <w:r w:rsidRPr="006D324D">
        <w:rPr>
          <w:b/>
        </w:rPr>
        <w:t>2. Meaning / Lexical Definition</w:t>
      </w:r>
    </w:p>
    <w:p w14:paraId="7ED68DF8" w14:textId="77777777" w:rsidR="006D324D" w:rsidRDefault="006D324D">
      <w:r>
        <w:t>• The noun menōrâh refers specifically to a lampstand or candelabrum used to support lamps.</w:t>
      </w:r>
    </w:p>
    <w:p w14:paraId="52AA4A9F" w14:textId="77777777" w:rsidR="006D324D" w:rsidRDefault="006D324D">
      <w:r>
        <w:t>• In the Old Testament, it refers primarily to the golden, seven-branched lampstand in the Tabernacle (Exodus 25:31–40), the ten separate golden lampstands in Solomon's Temple (1 Kings 7:49), or the single lampstand in Zechariah’s vision (Zechariah 4:2).</w:t>
      </w:r>
    </w:p>
    <w:p w14:paraId="6AE10121" w14:textId="77777777" w:rsidR="006D324D" w:rsidRDefault="006D324D">
      <w:r>
        <w:t>• In non-tabernacle contexts, it can refer to a standard household lampstand, such as the one placed in the upper room of the Shunammite woman for the prophet Elisha (2 Kings 4:10).</w:t>
      </w:r>
    </w:p>
    <w:p w14:paraId="5CECB62C" w14:textId="77777777" w:rsidR="006D324D" w:rsidRDefault="006D324D"/>
    <w:p w14:paraId="571E791B" w14:textId="77777777" w:rsidR="006D324D" w:rsidRPr="006D324D" w:rsidRDefault="006D324D">
      <w:pPr>
        <w:rPr>
          <w:b/>
        </w:rPr>
      </w:pPr>
      <w:r w:rsidRPr="006D324D">
        <w:rPr>
          <w:b/>
        </w:rPr>
        <w:t>3. Usage and Word Pictures</w:t>
      </w:r>
    </w:p>
    <w:p w14:paraId="226BB061" w14:textId="77777777" w:rsidR="006D324D" w:rsidRDefault="006D324D">
      <w:r>
        <w:t>• The menōrâh serves as a powerful biblical word picture for light, life, and testimony.</w:t>
      </w:r>
    </w:p>
    <w:p w14:paraId="6310D4F4" w14:textId="77777777" w:rsidR="006D324D" w:rsidRDefault="006D324D">
      <w:r>
        <w:t>• The almond tree motif is highly significant. The almond tree is the first tree to wake and blossom in the Israeli spring, symbolizing watchfulness and rapid fulfillment. Just as the almond branch blossoms, God is alert and actively watching over His Word to perform it (Jeremiah 1:11–12).</w:t>
      </w:r>
    </w:p>
    <w:p w14:paraId="1EF08C60" w14:textId="77777777" w:rsidR="006D324D" w:rsidRDefault="006D324D">
      <w:r>
        <w:t>• The seven branches symbolize completeness and perfection. Powered by pure, beaten olive oil, the burning lamps represent the continuous supply of the Holy Spirit, who illuminates divine truth and guides God’s people.</w:t>
      </w:r>
    </w:p>
    <w:p w14:paraId="50694D1D" w14:textId="77777777" w:rsidR="006D324D" w:rsidRDefault="006D324D"/>
    <w:p w14:paraId="54FE88FF" w14:textId="77777777" w:rsidR="006D324D" w:rsidRPr="006D324D" w:rsidRDefault="006D324D">
      <w:pPr>
        <w:rPr>
          <w:b/>
        </w:rPr>
      </w:pPr>
      <w:r w:rsidRPr="006D324D">
        <w:rPr>
          <w:b/>
        </w:rPr>
        <w:t>4. Theological Implications</w:t>
      </w:r>
    </w:p>
    <w:p w14:paraId="2316E94E" w14:textId="77777777" w:rsidR="006D324D" w:rsidRDefault="006D324D">
      <w:r>
        <w:t>• The menōrâh represents God as the source of all light and life. In the Tabernacle, the Holy Place was completely sealed off from natural light by thick coverings. Without the lampstand, the priests would minister in total darkness. This teaches that humanity cannot navigate holy things or know God through natural intellect; divine revelation is essential.</w:t>
      </w:r>
    </w:p>
    <w:p w14:paraId="60A1DAE3" w14:textId="77777777" w:rsidR="006D324D" w:rsidRDefault="006D324D">
      <w:r>
        <w:t>• In the New Testament, this imagery culminates in Jesus Christ, who declared, "I am the light of the world" (John 8:12).</w:t>
      </w:r>
    </w:p>
    <w:p w14:paraId="30FB7E08" w14:textId="77777777" w:rsidR="006D324D" w:rsidRDefault="006D324D">
      <w:r>
        <w:t>• Furthermore, the lampstand foreshadows the church's role. Believers are called to be the light of the world, and in Revelation 1:12–20, local churches are explicitly symbolized as golden lampstands, holding up the light of Christ in a dark world.</w:t>
      </w:r>
    </w:p>
    <w:p w14:paraId="26A4D0CA" w14:textId="77777777" w:rsidR="006D324D" w:rsidRDefault="006D324D"/>
    <w:p w14:paraId="0FC4EF45" w14:textId="77777777" w:rsidR="006D324D" w:rsidRPr="006D324D" w:rsidRDefault="006D324D">
      <w:pPr>
        <w:rPr>
          <w:b/>
        </w:rPr>
      </w:pPr>
      <w:r w:rsidRPr="006D324D">
        <w:rPr>
          <w:b/>
        </w:rPr>
        <w:t>5. Contextual Nuance in the Passage</w:t>
      </w:r>
    </w:p>
    <w:p w14:paraId="68ADB2F2" w14:textId="77777777" w:rsidR="006D324D" w:rsidRDefault="006D324D">
      <w:r>
        <w:t>• In Exodus 26:35, the menōrâh is positioned "opposite the table on the side of the tabernacle toward the south."</w:t>
      </w:r>
    </w:p>
    <w:p w14:paraId="63C9DDF5" w14:textId="77777777" w:rsidR="006D324D" w:rsidRDefault="006D324D">
      <w:r>
        <w:t>• Placing the lampstand on the south side, directly opposite the Table of Showbread on the north side, serves a functional and symbolic purpose. It directly illuminates the twelve loaves of bread, which represent the twelve tribes of Israel. This physical arrangement shows that God’s light constantly shines upon His covenant people, keeping them under His watchful and caring gaze.</w:t>
      </w:r>
    </w:p>
    <w:p w14:paraId="0060C618" w14:textId="77777777" w:rsidR="006D324D" w:rsidRDefault="006D324D">
      <w:r>
        <w:t>• It also provided the necessary light for the priests to perform their daily duties at the Table of Showbread and the Altar of Incense.</w:t>
      </w:r>
    </w:p>
    <w:p w14:paraId="509182F2" w14:textId="77777777" w:rsidR="006D324D" w:rsidRDefault="006D324D"/>
    <w:p w14:paraId="72BF21D6" w14:textId="77777777" w:rsidR="006D324D" w:rsidRPr="006D324D" w:rsidRDefault="006D324D">
      <w:pPr>
        <w:rPr>
          <w:b/>
        </w:rPr>
      </w:pPr>
      <w:r w:rsidRPr="006D324D">
        <w:rPr>
          <w:b/>
        </w:rPr>
        <w:t>6. Key Uses in Other Verses (NKJV)</w:t>
      </w:r>
    </w:p>
    <w:p w14:paraId="453B964E" w14:textId="77777777" w:rsidR="006D324D" w:rsidRDefault="006D324D">
      <w:r>
        <w:t>• Exodus 25:31: "You shall also make a lampstand of pure gold; the lampstand shall be of hammered work. Its shaft, its branches, its bowls, its ornamental knobs, and flowers shall be of one piece."</w:t>
      </w:r>
    </w:p>
    <w:p w14:paraId="5BC3EF39" w14:textId="77777777" w:rsidR="006D324D" w:rsidRDefault="006D324D">
      <w:r>
        <w:t>• Leviticus 24:4: "He shall keep the lamps in order on the pure gold lampstand before the Lord continually."</w:t>
      </w:r>
    </w:p>
    <w:p w14:paraId="44204B87" w14:textId="77777777" w:rsidR="006D324D" w:rsidRDefault="006D324D">
      <w:r>
        <w:t>• 1 Kings 7:49: "the lampstands of pure gold, five on the right side and five on the left in front of the inner sanctuary, with the flowers and the lamps and the wick-trimmers of gold;"</w:t>
      </w:r>
    </w:p>
    <w:p w14:paraId="584AAADE" w14:textId="77777777" w:rsidR="006D324D" w:rsidRDefault="006D324D">
      <w:r>
        <w:t>• Zechariah 4:2: "And he said to me, 'What do you see?' So I said, 'I am looking, and there is a lampstand of solid gold with a bowl on top of it, and on the stand seven lamps with seven pipes to the seven lamps.'"</w:t>
      </w:r>
    </w:p>
    <w:p w14:paraId="1D085AFB" w14:textId="77777777" w:rsidR="006D324D" w:rsidRDefault="006D324D"/>
    <w:p w14:paraId="1003226F" w14:textId="77777777" w:rsidR="006D324D" w:rsidRPr="006D324D" w:rsidRDefault="006D324D">
      <w:pPr>
        <w:rPr>
          <w:b/>
        </w:rPr>
      </w:pPr>
      <w:r w:rsidRPr="006D324D">
        <w:rPr>
          <w:b/>
        </w:rPr>
        <w:t>7. Other Relevant Insights</w:t>
      </w:r>
    </w:p>
    <w:p w14:paraId="56F99A13" w14:textId="77777777" w:rsidR="006D324D" w:rsidRDefault="006D324D">
      <w:r>
        <w:t>• The manufacturing process of the menōrâh was incredibly complex. It was to be hammered out of a single talent of pure gold (approximately 75 pounds). The craftsmen could not cast it in separate pieces and assemble it; it had to be beaten out of one solid block. This highlights the unity of God’s testimony and the refining trials required to produce a vessel that displays His light.</w:t>
      </w:r>
    </w:p>
    <w:p w14:paraId="3E6D16BC" w14:textId="77777777" w:rsidR="006D324D" w:rsidRDefault="006D324D"/>
    <w:p w14:paraId="0593B1F8" w14:textId="77777777" w:rsidR="006D324D" w:rsidRPr="006D324D" w:rsidRDefault="006D324D">
      <w:pPr>
        <w:rPr>
          <w:b/>
        </w:rPr>
      </w:pPr>
      <w:r w:rsidRPr="006D324D">
        <w:rPr>
          <w:b/>
        </w:rPr>
        <w:t>8. References</w:t>
      </w:r>
    </w:p>
    <w:p w14:paraId="7D9DD86A" w14:textId="77777777" w:rsidR="006D324D" w:rsidRDefault="006D324D">
      <w:r>
        <w:t>• Brown-Driver-Briggs Hebrew and English Lexicon</w:t>
      </w:r>
    </w:p>
    <w:p w14:paraId="0FDAE6F8" w14:textId="77777777" w:rsidR="006D324D" w:rsidRDefault="006D324D">
      <w:r>
        <w:t>• Theological Wordbook of the Old Testament</w:t>
      </w:r>
    </w:p>
    <w:p w14:paraId="0B0B399A" w14:textId="77777777" w:rsidR="006D324D" w:rsidRDefault="006D324D">
      <w:r>
        <w:t>• Hebrew and Aramaic Lexicon of the Old Testament</w:t>
      </w:r>
    </w:p>
    <w:p w14:paraId="45A74915" w14:textId="77777777" w:rsidR="006D324D" w:rsidRDefault="006D324D">
      <w:r>
        <w:t>• New International Dictionary of Old Testament Theology and Exegesis</w:t>
      </w:r>
    </w:p>
    <w:p w14:paraId="7E5AC5BA" w14:textId="3DAB8D63" w:rsidR="004C5552" w:rsidRDefault="006D324D">
      <w:r>
        <w:t>• MacArthur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2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324D"/>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01EE1"/>
  <w15:chartTrackingRefBased/>
  <w15:docId w15:val="{E001F1D1-685E-4F78-A71B-B6CFA939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3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3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24D"/>
    <w:rPr>
      <w:rFonts w:eastAsiaTheme="majorEastAsia" w:cstheme="majorBidi"/>
      <w:color w:val="272727" w:themeColor="text1" w:themeTint="D8"/>
    </w:rPr>
  </w:style>
  <w:style w:type="paragraph" w:styleId="Title">
    <w:name w:val="Title"/>
    <w:basedOn w:val="Normal"/>
    <w:next w:val="Normal"/>
    <w:link w:val="TitleChar"/>
    <w:uiPriority w:val="10"/>
    <w:qFormat/>
    <w:rsid w:val="006D3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24D"/>
    <w:pPr>
      <w:spacing w:before="160"/>
      <w:jc w:val="center"/>
    </w:pPr>
    <w:rPr>
      <w:i/>
      <w:iCs/>
      <w:color w:val="404040" w:themeColor="text1" w:themeTint="BF"/>
    </w:rPr>
  </w:style>
  <w:style w:type="character" w:customStyle="1" w:styleId="QuoteChar">
    <w:name w:val="Quote Char"/>
    <w:basedOn w:val="DefaultParagraphFont"/>
    <w:link w:val="Quote"/>
    <w:uiPriority w:val="29"/>
    <w:rsid w:val="006D324D"/>
    <w:rPr>
      <w:i/>
      <w:iCs/>
      <w:color w:val="404040" w:themeColor="text1" w:themeTint="BF"/>
    </w:rPr>
  </w:style>
  <w:style w:type="paragraph" w:styleId="ListParagraph">
    <w:name w:val="List Paragraph"/>
    <w:basedOn w:val="Normal"/>
    <w:uiPriority w:val="34"/>
    <w:qFormat/>
    <w:rsid w:val="006D324D"/>
    <w:pPr>
      <w:ind w:left="720"/>
      <w:contextualSpacing/>
    </w:pPr>
  </w:style>
  <w:style w:type="character" w:styleId="IntenseEmphasis">
    <w:name w:val="Intense Emphasis"/>
    <w:basedOn w:val="DefaultParagraphFont"/>
    <w:uiPriority w:val="21"/>
    <w:qFormat/>
    <w:rsid w:val="006D324D"/>
    <w:rPr>
      <w:i/>
      <w:iCs/>
      <w:color w:val="2E74B5" w:themeColor="accent1" w:themeShade="BF"/>
    </w:rPr>
  </w:style>
  <w:style w:type="paragraph" w:styleId="IntenseQuote">
    <w:name w:val="Intense Quote"/>
    <w:basedOn w:val="Normal"/>
    <w:next w:val="Normal"/>
    <w:link w:val="IntenseQuoteChar"/>
    <w:uiPriority w:val="30"/>
    <w:qFormat/>
    <w:rsid w:val="006D32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324D"/>
    <w:rPr>
      <w:i/>
      <w:iCs/>
      <w:color w:val="2E74B5" w:themeColor="accent1" w:themeShade="BF"/>
    </w:rPr>
  </w:style>
  <w:style w:type="character" w:styleId="IntenseReference">
    <w:name w:val="Intense Reference"/>
    <w:basedOn w:val="DefaultParagraphFont"/>
    <w:uiPriority w:val="32"/>
    <w:qFormat/>
    <w:rsid w:val="006D32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