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EAC3" w14:textId="77777777" w:rsidR="002F0290" w:rsidRPr="002F0290" w:rsidRDefault="002F0290">
      <w:pPr>
        <w:rPr>
          <w:b/>
        </w:rPr>
      </w:pPr>
      <w:r w:rsidRPr="002F0290">
        <w:rPr>
          <w:b/>
        </w:rPr>
        <w:t>SCREEN - ( masak , Strong's H4539 )</w:t>
      </w:r>
    </w:p>
    <w:p w14:paraId="25012196" w14:textId="77777777" w:rsidR="002F0290" w:rsidRDefault="002F0290">
      <w:r w:rsidRPr="002F0290">
        <w:rPr>
          <w:b/>
        </w:rPr>
        <w:t>Summary:</w:t>
      </w:r>
    </w:p>
    <w:p w14:paraId="7D96F6F5" w14:textId="77777777" w:rsidR="002F0290" w:rsidRDefault="002F0290">
      <w:r>
        <w:t>The Hebrew word masak refers to a protective covering, screen, or hanging used to partition or shield sacred spaces within the Tabernacle. In Exodus 26:36, it designates the ornamental screen at the entrance of the Tabernacle's Holy Place. This screen served as a visual and physical barrier, separating the common area of the outer court from the sacred interior. Woven with skilled artistry from blue, purple, and scarlet threads and fine linen, it combined physical protection with symbolic theological boundaries, illustrating both God's accessibility and His striking holiness.</w:t>
      </w:r>
    </w:p>
    <w:p w14:paraId="75A18D83" w14:textId="77777777" w:rsidR="002F0290" w:rsidRDefault="002F0290"/>
    <w:p w14:paraId="22F902C4" w14:textId="77777777" w:rsidR="002F0290" w:rsidRDefault="002F0290">
      <w:r w:rsidRPr="002F0290">
        <w:rPr>
          <w:b/>
        </w:rPr>
        <w:t>Full Study:</w:t>
      </w:r>
    </w:p>
    <w:p w14:paraId="0636F16D" w14:textId="77777777" w:rsidR="002F0290" w:rsidRDefault="002F0290"/>
    <w:p w14:paraId="0181256B" w14:textId="77777777" w:rsidR="002F0290" w:rsidRPr="002F0290" w:rsidRDefault="002F0290">
      <w:pPr>
        <w:rPr>
          <w:b/>
        </w:rPr>
      </w:pPr>
      <w:r w:rsidRPr="002F0290">
        <w:rPr>
          <w:b/>
        </w:rPr>
        <w:t xml:space="preserve"> 1. Word Picture / Background</w:t>
      </w:r>
    </w:p>
    <w:p w14:paraId="6BCA06ED" w14:textId="77777777" w:rsidR="002F0290" w:rsidRDefault="002F0290">
      <w:r>
        <w:t>The noun masak is derived from the verbal root sakak, which means to hedge in, cover, protect, or overshadow. The physical word picture is that of a protective canopy or shielding curtain that keeps something valuable or sacred safe from exposure, damage, or unauthorized intrusion. In nomadic ancient Near Eastern life, tent hangings and screens were essential for defining private living spaces, sheltering occupants from harsh desert winds, and blocking dust. In the context of the Tabernacle, this basic utilitarian concept is elevated to a sacred function: shielding the holy presence of God from common, unsanctified eyes.</w:t>
      </w:r>
    </w:p>
    <w:p w14:paraId="6FB0B910" w14:textId="77777777" w:rsidR="002F0290" w:rsidRDefault="002F0290"/>
    <w:p w14:paraId="666E04D2" w14:textId="77777777" w:rsidR="002F0290" w:rsidRPr="002F0290" w:rsidRDefault="002F0290">
      <w:pPr>
        <w:rPr>
          <w:b/>
        </w:rPr>
      </w:pPr>
      <w:r w:rsidRPr="002F0290">
        <w:rPr>
          <w:b/>
        </w:rPr>
        <w:t xml:space="preserve"> 2. Meaning / Lexical Definition</w:t>
      </w:r>
    </w:p>
    <w:p w14:paraId="31A81A3A" w14:textId="77777777" w:rsidR="002F0290" w:rsidRDefault="002F0290">
      <w:r>
        <w:t>The word masak refers specifically to a hanging, curtain, screen, or covering. In the architectural descriptions of the Tabernacle, it represents a moveable textile barrier rather than a permanent wooden or stone wall. It designates three distinct screens in the Tabernacle complex: the screen for the gate of the outer court, the screen for the entrance to the Holy Place, and occasionally the inner veil (paroket) that screened the Ark of the Testimony in the Most Holy Place. It is defined by its function of partitioning spaces and controlling access.</w:t>
      </w:r>
    </w:p>
    <w:p w14:paraId="22F24537" w14:textId="77777777" w:rsidR="002F0290" w:rsidRDefault="002F0290"/>
    <w:p w14:paraId="5804B904" w14:textId="77777777" w:rsidR="002F0290" w:rsidRPr="002F0290" w:rsidRDefault="002F0290">
      <w:pPr>
        <w:rPr>
          <w:b/>
        </w:rPr>
      </w:pPr>
      <w:r w:rsidRPr="002F0290">
        <w:rPr>
          <w:b/>
        </w:rPr>
        <w:t xml:space="preserve"> 3. Usage and Word Pictures</w:t>
      </w:r>
    </w:p>
    <w:p w14:paraId="259A0EB5" w14:textId="77777777" w:rsidR="002F0290" w:rsidRDefault="002F0290">
      <w:r>
        <w:t>The term masak appears primarily in the books of Exodus and Numbers, detailing the construction, layout, and transportation of the Tabernacle.</w:t>
      </w:r>
    </w:p>
    <w:p w14:paraId="1B06F61C" w14:textId="77777777" w:rsidR="002F0290" w:rsidRDefault="002F0290">
      <w:r>
        <w:t>• The root sakak is used elsewhere to describe God protecting His people under the shadow of His wings or covering Moses in the cleft of the rock.</w:t>
      </w:r>
    </w:p>
    <w:p w14:paraId="0AA7BBB8" w14:textId="77777777" w:rsidR="002F0290" w:rsidRDefault="002F0290">
      <w:r>
        <w:t>• The word picture of the masak is one of merciful concealment. Because God's raw holiness is consuming to sinful humanity, the screen acts as a protective shield. It does not merely lock people out; it protects them from the lethal consequence of encroaching upon the divine presence unprepared.</w:t>
      </w:r>
    </w:p>
    <w:p w14:paraId="2C522BC8" w14:textId="77777777" w:rsidR="002F0290" w:rsidRDefault="002F0290"/>
    <w:p w14:paraId="5B1DC05B" w14:textId="77777777" w:rsidR="002F0290" w:rsidRPr="002F0290" w:rsidRDefault="002F0290">
      <w:pPr>
        <w:rPr>
          <w:b/>
        </w:rPr>
      </w:pPr>
      <w:r w:rsidRPr="002F0290">
        <w:rPr>
          <w:b/>
        </w:rPr>
        <w:t xml:space="preserve"> 4. Theological Implications</w:t>
      </w:r>
    </w:p>
    <w:p w14:paraId="0E9E170C" w14:textId="77777777" w:rsidR="002F0290" w:rsidRDefault="002F0290">
      <w:r>
        <w:t>The theology of the masak centers on the tension between divine accessibility and divine transcendence. The screen was a barrier, yet it was a moveable textile barrier, not an impenetrable stone wall. It signaled that a way of approach existed, though only under strictly prescribed conditions mediated by the priesthood. The colors of the screen (blue, purple, scarlet) and the fine linen pointed to the royalty, heavenly origin, and purity of the King who dwelt within. In New Testament theology, these barriers find their ultimate fulfillment in Jesus Christ. While the inner veil was torn at His death, the concept of entering God's presence through a consecrated pathway remains. Hebrews 10:19–20 speaks of entering the Holiest by a "new and living way" consecrated through the veil, which is His flesh.</w:t>
      </w:r>
    </w:p>
    <w:p w14:paraId="7029B821" w14:textId="77777777" w:rsidR="002F0290" w:rsidRDefault="002F0290"/>
    <w:p w14:paraId="3BC61D86" w14:textId="77777777" w:rsidR="002F0290" w:rsidRPr="002F0290" w:rsidRDefault="002F0290">
      <w:pPr>
        <w:rPr>
          <w:b/>
        </w:rPr>
      </w:pPr>
      <w:r w:rsidRPr="002F0290">
        <w:rPr>
          <w:b/>
        </w:rPr>
        <w:t xml:space="preserve"> 5. Contextual Nuance in the Passage</w:t>
      </w:r>
    </w:p>
    <w:p w14:paraId="47A61B55" w14:textId="77777777" w:rsidR="002F0290" w:rsidRDefault="002F0290">
      <w:r>
        <w:t>In Exodus 26:36, the masak is the screen for the "door of the tabernacle"—specifically, the eastern entrance leading from the outer courtyard into the Holy Place. Unlike the inner veil that separated the Holy Place from the Most Holy Place, this screen did not have cherubim woven into it. Instead, it was "made by an artist" (embroidered) using the same majestic colors. This distinction is crucial: the lack of cherubim on the outer screen made it slightly less restrictive in its symbolic warning than the inner veil, yet it still clearly demarcated the boundary where the ordinary Israelite must stop and only the priests could enter to perform their daily duties. It hung on five pillars of acacia wood overlaid with gold, standing as a beautiful, imposing boundary marker of sacred space.</w:t>
      </w:r>
    </w:p>
    <w:p w14:paraId="462C4B5F" w14:textId="77777777" w:rsidR="002F0290" w:rsidRDefault="002F0290"/>
    <w:p w14:paraId="3B2D05ED" w14:textId="77777777" w:rsidR="002F0290" w:rsidRPr="002F0290" w:rsidRDefault="002F0290">
      <w:pPr>
        <w:rPr>
          <w:b/>
        </w:rPr>
      </w:pPr>
      <w:r w:rsidRPr="002F0290">
        <w:rPr>
          <w:b/>
        </w:rPr>
        <w:t xml:space="preserve"> 6. Key Uses in Other Verses (NKJV)</w:t>
      </w:r>
    </w:p>
    <w:p w14:paraId="6BA29D1C" w14:textId="77777777" w:rsidR="002F0290" w:rsidRDefault="002F0290">
      <w:r>
        <w:t>• Exodus 35:15: "the incense altar, its poles, the anointing oil, the sweet incense, and the screen for the door at the entrance of the tabernacle;"</w:t>
      </w:r>
    </w:p>
    <w:p w14:paraId="2E154963" w14:textId="77777777" w:rsidR="002F0290" w:rsidRDefault="002F0290">
      <w:r>
        <w:t>• Exodus 39:40: "the hangings of the court, its pillars and its sockets, the screen for the court gate, its cords, and its pegs;"</w:t>
      </w:r>
    </w:p>
    <w:p w14:paraId="5B511088" w14:textId="77777777" w:rsidR="002F0290" w:rsidRDefault="002F0290">
      <w:r>
        <w:t>• Numbers 3:25: "The duties of the children of Gershon in the tabernacle of meeting included the tabernacle, the tent with its covering, the screen for the door of the tabernacle of meeting,"</w:t>
      </w:r>
    </w:p>
    <w:p w14:paraId="07462B54" w14:textId="77777777" w:rsidR="002F0290" w:rsidRDefault="002F0290">
      <w:r>
        <w:t>• Numbers 4:26: "the hangings of the court, the screen for the door of the gate of the court which is around the tabernacle and altar, their cords, and all the equipment for their service;"</w:t>
      </w:r>
    </w:p>
    <w:p w14:paraId="4AD043CF" w14:textId="77777777" w:rsidR="002F0290" w:rsidRDefault="002F0290"/>
    <w:p w14:paraId="7BCB9001" w14:textId="77777777" w:rsidR="002F0290" w:rsidRPr="002F0290" w:rsidRDefault="002F0290">
      <w:pPr>
        <w:rPr>
          <w:b/>
        </w:rPr>
      </w:pPr>
      <w:r w:rsidRPr="002F0290">
        <w:rPr>
          <w:b/>
        </w:rPr>
        <w:t xml:space="preserve"> 7. Other Relevant Insights</w:t>
      </w:r>
    </w:p>
    <w:p w14:paraId="1248FD84" w14:textId="77777777" w:rsidR="002F0290" w:rsidRDefault="002F0290">
      <w:r>
        <w:t>During the wilderness wanderings, the Levites (specifically the Gershonites) were charged with the transport of these heavy, beautifully embroidered screens. This highlights that even the boundaries and access points of God's presence were portable, moving with His people wherever He led them. Additionally, the term masak is used metaphorically in Psalm 105:39 to describe the cloud that God spread as a "covering" to protect Israel from the scorching desert sun, linking the word directly to God's active, sheltering care.</w:t>
      </w:r>
    </w:p>
    <w:p w14:paraId="495200FC" w14:textId="77777777" w:rsidR="002F0290" w:rsidRDefault="002F0290"/>
    <w:p w14:paraId="1DC6B2C4" w14:textId="77777777" w:rsidR="002F0290" w:rsidRPr="002F0290" w:rsidRDefault="002F0290">
      <w:pPr>
        <w:rPr>
          <w:b/>
        </w:rPr>
      </w:pPr>
      <w:r w:rsidRPr="002F0290">
        <w:rPr>
          <w:b/>
        </w:rPr>
        <w:t xml:space="preserve"> 8. References</w:t>
      </w:r>
    </w:p>
    <w:p w14:paraId="19870560" w14:textId="77777777" w:rsidR="002F0290" w:rsidRDefault="002F0290">
      <w:r>
        <w:t>• Gesenius' Hebrew and Chaldee Lexicon</w:t>
      </w:r>
    </w:p>
    <w:p w14:paraId="70619CEA" w14:textId="77777777" w:rsidR="002F0290" w:rsidRDefault="002F0290">
      <w:r>
        <w:t>• Brown-Driver-Briggs Hebrew and English Lexicon</w:t>
      </w:r>
    </w:p>
    <w:p w14:paraId="4B31BCC8" w14:textId="77777777" w:rsidR="002F0290" w:rsidRDefault="002F0290">
      <w:r>
        <w:t>• Theological Wordbook of the Old Testament</w:t>
      </w:r>
    </w:p>
    <w:p w14:paraId="2FAB4AD9" w14:textId="77777777" w:rsidR="002F0290" w:rsidRDefault="002F0290">
      <w:r>
        <w:t>• Harris, Archer, and Waltke, Theological Wordbook of the Old Testament</w:t>
      </w:r>
    </w:p>
    <w:p w14:paraId="6E0EDA9D" w14:textId="59633641" w:rsidR="004C5552" w:rsidRDefault="002F029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2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0290"/>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94AB"/>
  <w15:chartTrackingRefBased/>
  <w15:docId w15:val="{61978751-CDBA-4793-895C-2F1060F4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0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0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290"/>
    <w:rPr>
      <w:rFonts w:eastAsiaTheme="majorEastAsia" w:cstheme="majorBidi"/>
      <w:color w:val="272727" w:themeColor="text1" w:themeTint="D8"/>
    </w:rPr>
  </w:style>
  <w:style w:type="paragraph" w:styleId="Title">
    <w:name w:val="Title"/>
    <w:basedOn w:val="Normal"/>
    <w:next w:val="Normal"/>
    <w:link w:val="TitleChar"/>
    <w:uiPriority w:val="10"/>
    <w:qFormat/>
    <w:rsid w:val="002F0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290"/>
    <w:pPr>
      <w:spacing w:before="160"/>
      <w:jc w:val="center"/>
    </w:pPr>
    <w:rPr>
      <w:i/>
      <w:iCs/>
      <w:color w:val="404040" w:themeColor="text1" w:themeTint="BF"/>
    </w:rPr>
  </w:style>
  <w:style w:type="character" w:customStyle="1" w:styleId="QuoteChar">
    <w:name w:val="Quote Char"/>
    <w:basedOn w:val="DefaultParagraphFont"/>
    <w:link w:val="Quote"/>
    <w:uiPriority w:val="29"/>
    <w:rsid w:val="002F0290"/>
    <w:rPr>
      <w:i/>
      <w:iCs/>
      <w:color w:val="404040" w:themeColor="text1" w:themeTint="BF"/>
    </w:rPr>
  </w:style>
  <w:style w:type="paragraph" w:styleId="ListParagraph">
    <w:name w:val="List Paragraph"/>
    <w:basedOn w:val="Normal"/>
    <w:uiPriority w:val="34"/>
    <w:qFormat/>
    <w:rsid w:val="002F0290"/>
    <w:pPr>
      <w:ind w:left="720"/>
      <w:contextualSpacing/>
    </w:pPr>
  </w:style>
  <w:style w:type="character" w:styleId="IntenseEmphasis">
    <w:name w:val="Intense Emphasis"/>
    <w:basedOn w:val="DefaultParagraphFont"/>
    <w:uiPriority w:val="21"/>
    <w:qFormat/>
    <w:rsid w:val="002F0290"/>
    <w:rPr>
      <w:i/>
      <w:iCs/>
      <w:color w:val="2E74B5" w:themeColor="accent1" w:themeShade="BF"/>
    </w:rPr>
  </w:style>
  <w:style w:type="paragraph" w:styleId="IntenseQuote">
    <w:name w:val="Intense Quote"/>
    <w:basedOn w:val="Normal"/>
    <w:next w:val="Normal"/>
    <w:link w:val="IntenseQuoteChar"/>
    <w:uiPriority w:val="30"/>
    <w:qFormat/>
    <w:rsid w:val="002F02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0290"/>
    <w:rPr>
      <w:i/>
      <w:iCs/>
      <w:color w:val="2E74B5" w:themeColor="accent1" w:themeShade="BF"/>
    </w:rPr>
  </w:style>
  <w:style w:type="character" w:styleId="IntenseReference">
    <w:name w:val="Intense Reference"/>
    <w:basedOn w:val="DefaultParagraphFont"/>
    <w:uiPriority w:val="32"/>
    <w:qFormat/>
    <w:rsid w:val="002F02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