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B777" w14:textId="77777777" w:rsidR="00416014" w:rsidRPr="00416014" w:rsidRDefault="00416014">
      <w:pPr>
        <w:rPr>
          <w:b/>
        </w:rPr>
      </w:pPr>
      <w:r w:rsidRPr="00416014">
        <w:rPr>
          <w:b/>
        </w:rPr>
        <w:t>BANDS - ( chāšûq , Strong's H2838 )</w:t>
      </w:r>
    </w:p>
    <w:p w14:paraId="405EF2E0" w14:textId="77777777" w:rsidR="00416014" w:rsidRDefault="00416014">
      <w:r w:rsidRPr="00416014">
        <w:rPr>
          <w:b/>
        </w:rPr>
        <w:t>Summary:</w:t>
      </w:r>
    </w:p>
    <w:p w14:paraId="2C15F8A7" w14:textId="77777777" w:rsidR="00416014" w:rsidRDefault="00416014">
      <w:r>
        <w:t>The Hebrew word chāšûq refers to the silver bands, fillets, or connecting rods that joined and stabilized the pillars of the Tabernacle's outer court. Derived from a root meaning to cling, bind, or love deeply, these bands served both a vital structural purpose and a profound symbolic role. Structurally, they linked the pillars together in an unbroken line, securing the fine linen hangings against the desert winds. Symbolically, because they were fashioned from the silver of the redemption half-shekel, these bands represent the redeeming grace of God that binds His people together in covenant love. In Exodus 27:10, these silver bands crowned the pillars, illustrating that while God's dwelling meets the earth on sockets of bronze judgment, it is held together and unified by redemption.</w:t>
      </w:r>
    </w:p>
    <w:p w14:paraId="71CB63CE" w14:textId="77777777" w:rsidR="00416014" w:rsidRDefault="00416014"/>
    <w:p w14:paraId="58EEC5D4" w14:textId="77777777" w:rsidR="00416014" w:rsidRDefault="00416014">
      <w:r w:rsidRPr="00416014">
        <w:rPr>
          <w:b/>
        </w:rPr>
        <w:t>Full Study:</w:t>
      </w:r>
    </w:p>
    <w:p w14:paraId="2F61DA80" w14:textId="77777777" w:rsidR="00416014" w:rsidRDefault="00416014"/>
    <w:p w14:paraId="4C03EC30" w14:textId="77777777" w:rsidR="00416014" w:rsidRPr="00416014" w:rsidRDefault="00416014">
      <w:pPr>
        <w:rPr>
          <w:b/>
        </w:rPr>
      </w:pPr>
      <w:r w:rsidRPr="00416014">
        <w:rPr>
          <w:b/>
        </w:rPr>
        <w:t xml:space="preserve"> 1. Word Picture / Background</w:t>
      </w:r>
    </w:p>
    <w:p w14:paraId="2EDB05D4" w14:textId="77777777" w:rsidR="00416014" w:rsidRDefault="00416014">
      <w:r>
        <w:t>The noun chāšûq comes from the verbal root chāšaq (H2836), which means to bind, deliver, cling, or join together. In other contexts, this verbal root describes a deep, passionate longing or a soul clinging to another in devotion. For example, it describes the prince Shechem's soul "longing" for Dinah (Genesis 34:8) and Yahweh "setting His love" upon Israel (Deuteronomy 7:7). The word picture behind the "bands" is not merely one of cold, mechanical hardware, but of a tight, passionate embrace. The silver bands were designed to clasp, wrap around, and firmly bind the pillars of the Tabernacle court to one another, reflecting an unbreakable connection.</w:t>
      </w:r>
    </w:p>
    <w:p w14:paraId="4EF55375" w14:textId="77777777" w:rsidR="00416014" w:rsidRDefault="00416014"/>
    <w:p w14:paraId="031BB50E" w14:textId="77777777" w:rsidR="00416014" w:rsidRPr="00416014" w:rsidRDefault="00416014">
      <w:pPr>
        <w:rPr>
          <w:b/>
        </w:rPr>
      </w:pPr>
      <w:r w:rsidRPr="00416014">
        <w:rPr>
          <w:b/>
        </w:rPr>
        <w:t xml:space="preserve"> 2. Meaning / Lexical Definition</w:t>
      </w:r>
    </w:p>
    <w:p w14:paraId="1AB0BF0D" w14:textId="77777777" w:rsidR="00416014" w:rsidRDefault="00416014">
      <w:r>
        <w:t>The term chāšûq refers to a connecting rod, ring, fillet, or band used to join together the columns of the Tabernacle court. These bands were made of solid silver and were positioned at the tops of the pillars, bridging the space between them. They functioned as the framework from which the heavy curtains of fine woven linen were hung. Lexically, the word denotes a binding or clasping element that wraps around an object to stabilize it and link it to its neighbor.</w:t>
      </w:r>
    </w:p>
    <w:p w14:paraId="0DF0A56B" w14:textId="77777777" w:rsidR="00416014" w:rsidRDefault="00416014"/>
    <w:p w14:paraId="71EF8193" w14:textId="77777777" w:rsidR="00416014" w:rsidRPr="00416014" w:rsidRDefault="00416014">
      <w:pPr>
        <w:rPr>
          <w:b/>
        </w:rPr>
      </w:pPr>
      <w:r w:rsidRPr="00416014">
        <w:rPr>
          <w:b/>
        </w:rPr>
        <w:t xml:space="preserve"> 3. Usage and Word Pictures</w:t>
      </w:r>
    </w:p>
    <w:p w14:paraId="2F87479D" w14:textId="77777777" w:rsidR="00416014" w:rsidRDefault="00416014">
      <w:r>
        <w:t>The term chāšûq occurs exclusively in the Tabernacle construction narratives in the book of Exodus.</w:t>
      </w:r>
    </w:p>
    <w:p w14:paraId="2D41AB8C" w14:textId="77777777" w:rsidR="00416014" w:rsidRDefault="00416014">
      <w:r>
        <w:t>• Structural Integrity: The outer court of the Tabernacle was exposed to the harsh, unpredictable winds of the wilderness. The linen curtains were tall and heavy, acting like sails. The silver bands connected the pillars in a continuous, rigid line, distributing the physical stress across the entire perimeter and keeping the perimeter wall perfectly aligned and upright.</w:t>
      </w:r>
    </w:p>
    <w:p w14:paraId="02223335" w14:textId="77777777" w:rsidR="00416014" w:rsidRDefault="00416014">
      <w:r>
        <w:t>• Unbroken Boundary: The bands formed a continuous silver line around the entire courtyard. This visual boundary separated the holy ground of the Tabernacle from the common camp of Israel, demonstrating that entry to God's presence is orderly, guarded, and distinct.</w:t>
      </w:r>
    </w:p>
    <w:p w14:paraId="79A16C34" w14:textId="77777777" w:rsidR="00416014" w:rsidRDefault="00416014"/>
    <w:p w14:paraId="458254C3" w14:textId="77777777" w:rsidR="00416014" w:rsidRPr="00416014" w:rsidRDefault="00416014">
      <w:pPr>
        <w:rPr>
          <w:b/>
        </w:rPr>
      </w:pPr>
      <w:r w:rsidRPr="00416014">
        <w:rPr>
          <w:b/>
        </w:rPr>
        <w:t xml:space="preserve"> 4. Theological Implications</w:t>
      </w:r>
    </w:p>
    <w:p w14:paraId="16067A33" w14:textId="77777777" w:rsidR="00416014" w:rsidRDefault="00416014">
      <w:r>
        <w:t>• The Silver of Redemption: In the symbolic language of the Tabernacle, silver represents redemption. The silver used to construct these hooks, capital overlays, and bands was not taken from general freewill offerings, but from the mandatory atonement money—the half-shekel of silver required of every numbered Israelite as a ransom for his soul (Exodus 30:11–16; 38:25–28). Therefore, the entire courtyard was structurally held together by the price of redemption.</w:t>
      </w:r>
    </w:p>
    <w:p w14:paraId="2802EC5E" w14:textId="77777777" w:rsidR="00416014" w:rsidRDefault="00416014">
      <w:r>
        <w:t>• Covenant Unity: The connection between the noun chāšûq (bands) and the verb chāšaq (covenant love) illustrates that God's redeeming love is the ultimate binding force. The sanctuary of God is unified and secured by the redeeming grace that binds believers to Himself and to one another.</w:t>
      </w:r>
    </w:p>
    <w:p w14:paraId="191CA4AC" w14:textId="77777777" w:rsidR="00416014" w:rsidRDefault="00416014"/>
    <w:p w14:paraId="68CECFB9" w14:textId="77777777" w:rsidR="00416014" w:rsidRPr="00416014" w:rsidRDefault="00416014">
      <w:pPr>
        <w:rPr>
          <w:b/>
        </w:rPr>
      </w:pPr>
      <w:r w:rsidRPr="00416014">
        <w:rPr>
          <w:b/>
        </w:rPr>
        <w:t xml:space="preserve"> 5. Contextual Nuance in the Passage</w:t>
      </w:r>
    </w:p>
    <w:p w14:paraId="3B7D4CA4" w14:textId="77777777" w:rsidR="00416014" w:rsidRDefault="00416014">
      <w:r>
        <w:t>In Exodus 27:10, God provides the blueprints for the courtyard's pillars. The pillars stood on sockets of bronze, but their hooks and bands (chāšûq) were made of silver. Bronze in Scripture is frequently associated with judgment, trial, and sacrifice (as seen in the bronze altar). The progression from the ground up is highly significant: the pillars rest upon the earth in bronze sockets (judgment met and endured), but they are bound together at the top in silver (redemption realized). This indicates that those who enter the house of God stand on the basis of judged sin, but are held together, crowned, and secured by redemption.</w:t>
      </w:r>
    </w:p>
    <w:p w14:paraId="6CB429D5" w14:textId="77777777" w:rsidR="00416014" w:rsidRDefault="00416014"/>
    <w:p w14:paraId="12F9908A" w14:textId="77777777" w:rsidR="00416014" w:rsidRPr="00416014" w:rsidRDefault="00416014">
      <w:pPr>
        <w:rPr>
          <w:b/>
        </w:rPr>
      </w:pPr>
      <w:r w:rsidRPr="00416014">
        <w:rPr>
          <w:b/>
        </w:rPr>
        <w:t xml:space="preserve"> 6. Key Uses in Other Verses (NKJV)</w:t>
      </w:r>
    </w:p>
    <w:p w14:paraId="32CB1198" w14:textId="77777777" w:rsidR="00416014" w:rsidRDefault="00416014">
      <w:r>
        <w:t>• Exodus 27:11 - "...and the hooks of the pillars and their bands of silver."</w:t>
      </w:r>
    </w:p>
    <w:p w14:paraId="3B8B046D" w14:textId="77777777" w:rsidR="00416014" w:rsidRDefault="00416014">
      <w:r>
        <w:t>• Exodus 38:10 - "...The hooks of the pillars and their bands were of silver."</w:t>
      </w:r>
    </w:p>
    <w:p w14:paraId="29867D72" w14:textId="77777777" w:rsidR="00416014" w:rsidRDefault="00416014">
      <w:r>
        <w:t>• Exodus 38:17 - "...and the bands of the pillars were of silver;"</w:t>
      </w:r>
    </w:p>
    <w:p w14:paraId="12A25BF7" w14:textId="77777777" w:rsidR="00416014" w:rsidRDefault="00416014">
      <w:r>
        <w:t>• Exodus 38:19 - "...and their hooks were of silver, and the overlay of their capitals and their bands of silver."</w:t>
      </w:r>
    </w:p>
    <w:p w14:paraId="408695F8" w14:textId="77777777" w:rsidR="00416014" w:rsidRDefault="00416014"/>
    <w:p w14:paraId="1A822A9A" w14:textId="77777777" w:rsidR="00416014" w:rsidRPr="00416014" w:rsidRDefault="00416014">
      <w:pPr>
        <w:rPr>
          <w:b/>
        </w:rPr>
      </w:pPr>
      <w:r w:rsidRPr="00416014">
        <w:rPr>
          <w:b/>
        </w:rPr>
        <w:t xml:space="preserve"> 7. Other Relevant Insights</w:t>
      </w:r>
    </w:p>
    <w:p w14:paraId="34F3B5A9" w14:textId="77777777" w:rsidR="00416014" w:rsidRDefault="00416014">
      <w:r>
        <w:t>The relationship between chāšûq and its root provides a powerful pastoral illustration. The same God who commanded His sanctuary to be bound with silver bands is the God who "set His love" (chāšaq) upon His people (Deuteronomy 7:7). Believers are not left to stand as isolated pillars in the desert of this world. God has wrapped His redeeming love around them, binding them together into a single, cohesive, and beautiful spiritual house (Ephesians 2:21–22) that can withstand the storms of life.</w:t>
      </w:r>
    </w:p>
    <w:p w14:paraId="2BBF1AF0" w14:textId="77777777" w:rsidR="00416014" w:rsidRDefault="00416014"/>
    <w:p w14:paraId="0F04C11E" w14:textId="77777777" w:rsidR="00416014" w:rsidRPr="00416014" w:rsidRDefault="00416014">
      <w:pPr>
        <w:rPr>
          <w:b/>
        </w:rPr>
      </w:pPr>
      <w:r w:rsidRPr="00416014">
        <w:rPr>
          <w:b/>
        </w:rPr>
        <w:t xml:space="preserve"> 8. References</w:t>
      </w:r>
    </w:p>
    <w:p w14:paraId="49413015" w14:textId="77777777" w:rsidR="00416014" w:rsidRDefault="00416014">
      <w:r>
        <w:t>• Brown, Driver, Briggs. Hebrew and English Lexicon of the Old Testament.</w:t>
      </w:r>
    </w:p>
    <w:p w14:paraId="7E4E35B7" w14:textId="77777777" w:rsidR="00416014" w:rsidRDefault="00416014">
      <w:r>
        <w:t>• Harris, R. Laird, Gleason L. Archer Jr., and Bruce K. Waltke. Theological Wordbook of the Old Testament.</w:t>
      </w:r>
    </w:p>
    <w:p w14:paraId="6CE83E6D" w14:textId="77777777" w:rsidR="00416014" w:rsidRDefault="00416014">
      <w:r>
        <w:t>• Gesenius, Wilhelm. Hebrew and Chaldee Lexicon to the Old Testament Scriptures.</w:t>
      </w:r>
    </w:p>
    <w:p w14:paraId="04B3714C" w14:textId="77777777" w:rsidR="00416014" w:rsidRDefault="00416014">
      <w:r>
        <w:t>• Koehler, Ludwig, and Walter Baumgartner. The Hebrew and Aramaic Lexicon of the Old Testament.</w:t>
      </w:r>
    </w:p>
    <w:p w14:paraId="1ABFE195" w14:textId="7FC4DA95" w:rsidR="004C5552" w:rsidRDefault="00416014">
      <w:r>
        <w:t>• Strong, James.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1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6014"/>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E77A"/>
  <w15:chartTrackingRefBased/>
  <w15:docId w15:val="{926C7B45-C0A4-435B-B2E1-C77389523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6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6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014"/>
    <w:rPr>
      <w:rFonts w:eastAsiaTheme="majorEastAsia" w:cstheme="majorBidi"/>
      <w:color w:val="272727" w:themeColor="text1" w:themeTint="D8"/>
    </w:rPr>
  </w:style>
  <w:style w:type="paragraph" w:styleId="Title">
    <w:name w:val="Title"/>
    <w:basedOn w:val="Normal"/>
    <w:next w:val="Normal"/>
    <w:link w:val="TitleChar"/>
    <w:uiPriority w:val="10"/>
    <w:qFormat/>
    <w:rsid w:val="00416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014"/>
    <w:pPr>
      <w:spacing w:before="160"/>
      <w:jc w:val="center"/>
    </w:pPr>
    <w:rPr>
      <w:i/>
      <w:iCs/>
      <w:color w:val="404040" w:themeColor="text1" w:themeTint="BF"/>
    </w:rPr>
  </w:style>
  <w:style w:type="character" w:customStyle="1" w:styleId="QuoteChar">
    <w:name w:val="Quote Char"/>
    <w:basedOn w:val="DefaultParagraphFont"/>
    <w:link w:val="Quote"/>
    <w:uiPriority w:val="29"/>
    <w:rsid w:val="00416014"/>
    <w:rPr>
      <w:i/>
      <w:iCs/>
      <w:color w:val="404040" w:themeColor="text1" w:themeTint="BF"/>
    </w:rPr>
  </w:style>
  <w:style w:type="paragraph" w:styleId="ListParagraph">
    <w:name w:val="List Paragraph"/>
    <w:basedOn w:val="Normal"/>
    <w:uiPriority w:val="34"/>
    <w:qFormat/>
    <w:rsid w:val="00416014"/>
    <w:pPr>
      <w:ind w:left="720"/>
      <w:contextualSpacing/>
    </w:pPr>
  </w:style>
  <w:style w:type="character" w:styleId="IntenseEmphasis">
    <w:name w:val="Intense Emphasis"/>
    <w:basedOn w:val="DefaultParagraphFont"/>
    <w:uiPriority w:val="21"/>
    <w:qFormat/>
    <w:rsid w:val="00416014"/>
    <w:rPr>
      <w:i/>
      <w:iCs/>
      <w:color w:val="2E74B5" w:themeColor="accent1" w:themeShade="BF"/>
    </w:rPr>
  </w:style>
  <w:style w:type="paragraph" w:styleId="IntenseQuote">
    <w:name w:val="Intense Quote"/>
    <w:basedOn w:val="Normal"/>
    <w:next w:val="Normal"/>
    <w:link w:val="IntenseQuoteChar"/>
    <w:uiPriority w:val="30"/>
    <w:qFormat/>
    <w:rsid w:val="0041601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6014"/>
    <w:rPr>
      <w:i/>
      <w:iCs/>
      <w:color w:val="2E74B5" w:themeColor="accent1" w:themeShade="BF"/>
    </w:rPr>
  </w:style>
  <w:style w:type="character" w:styleId="IntenseReference">
    <w:name w:val="Intense Reference"/>
    <w:basedOn w:val="DefaultParagraphFont"/>
    <w:uiPriority w:val="32"/>
    <w:qFormat/>
    <w:rsid w:val="0041601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