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FDFF" w14:textId="77777777" w:rsidR="0034555F" w:rsidRPr="0034555F" w:rsidRDefault="0034555F">
      <w:pPr>
        <w:rPr>
          <w:b/>
        </w:rPr>
      </w:pPr>
      <w:r w:rsidRPr="0034555F">
        <w:rPr>
          <w:b/>
        </w:rPr>
        <w:t>SCREEN - ( masak , Strong's H4539 )</w:t>
      </w:r>
    </w:p>
    <w:p w14:paraId="0BEA6045" w14:textId="77777777" w:rsidR="0034555F" w:rsidRDefault="0034555F">
      <w:r w:rsidRPr="0034555F">
        <w:rPr>
          <w:b/>
        </w:rPr>
        <w:t>Summary:</w:t>
      </w:r>
    </w:p>
    <w:p w14:paraId="0B94EF99" w14:textId="77777777" w:rsidR="0034555F" w:rsidRDefault="0034555F">
      <w:r>
        <w:t>The Hebrew noun masak refers to a screen, covering, or hanging used in the Tabernacle to act as a protective and partitioning barrier. Derived from a root meaning "to cover" or "to hedge in," it designates the highly ornamental, multi-colored fabric hangings that guarded the entrances to the Holy Place and the Tabernacle's outer court. In Exodus 27:16, the masak is the "screen" for the gate of the court—a wide, twenty-cubit-long colorful barrier that simultaneously invited entry and restricted access, marking the boundary between the common world and the sacred space of God’s dwelling.</w:t>
      </w:r>
    </w:p>
    <w:p w14:paraId="219EEEB7" w14:textId="77777777" w:rsidR="0034555F" w:rsidRDefault="0034555F"/>
    <w:p w14:paraId="3B5C23FC" w14:textId="77777777" w:rsidR="0034555F" w:rsidRDefault="0034555F">
      <w:r w:rsidRPr="0034555F">
        <w:rPr>
          <w:b/>
        </w:rPr>
        <w:t>Full Study:</w:t>
      </w:r>
    </w:p>
    <w:p w14:paraId="3F7C5A4F" w14:textId="77777777" w:rsidR="0034555F" w:rsidRDefault="0034555F"/>
    <w:p w14:paraId="67F834B4" w14:textId="77777777" w:rsidR="0034555F" w:rsidRPr="0034555F" w:rsidRDefault="0034555F">
      <w:pPr>
        <w:rPr>
          <w:b/>
        </w:rPr>
      </w:pPr>
      <w:r w:rsidRPr="0034555F">
        <w:rPr>
          <w:b/>
        </w:rPr>
        <w:t>1. Word Picture / Background</w:t>
      </w:r>
    </w:p>
    <w:p w14:paraId="564C4A9C" w14:textId="77777777" w:rsidR="0034555F" w:rsidRDefault="0034555F">
      <w:r>
        <w:t>• The noun masak comes from the primary verbal root sakak, which means "to cover, entwine, hedge in, or protect."</w:t>
      </w:r>
    </w:p>
    <w:p w14:paraId="36D958B9" w14:textId="77777777" w:rsidR="0034555F" w:rsidRDefault="0034555F">
      <w:r>
        <w:t>• The word picture is that of a protective canopy or interwoven barrier that shields something precious from view or access. It is not a solid wall of stone or wood, but a flexible, woven covering that conceals what is behind it.</w:t>
      </w:r>
    </w:p>
    <w:p w14:paraId="2A453F2D" w14:textId="77777777" w:rsidR="0034555F" w:rsidRDefault="0034555F">
      <w:r>
        <w:t>• In the ancient Near Eastern context of nomadic tent-dwelling, a masak was the entrance flap of a tent. It served to keep out the elements, dust, and wild animals, while also securing the privacy and safety of those inside.</w:t>
      </w:r>
    </w:p>
    <w:p w14:paraId="05168E15" w14:textId="77777777" w:rsidR="0034555F" w:rsidRDefault="0034555F">
      <w:r>
        <w:t>• When applied to the Tabernacle (the dwelling place of Yahweh), this ordinary nomadic element was elevated into a sacred boundary marker of divine proportions, woven with costly threads and artistic precision.</w:t>
      </w:r>
    </w:p>
    <w:p w14:paraId="641533A4" w14:textId="77777777" w:rsidR="0034555F" w:rsidRDefault="0034555F"/>
    <w:p w14:paraId="4E605C58" w14:textId="77777777" w:rsidR="0034555F" w:rsidRPr="0034555F" w:rsidRDefault="0034555F">
      <w:pPr>
        <w:rPr>
          <w:b/>
        </w:rPr>
      </w:pPr>
      <w:r w:rsidRPr="0034555F">
        <w:rPr>
          <w:b/>
        </w:rPr>
        <w:t>2. Meaning / Lexical Definition</w:t>
      </w:r>
    </w:p>
    <w:p w14:paraId="178B3454" w14:textId="77777777" w:rsidR="0034555F" w:rsidRDefault="0034555F">
      <w:r>
        <w:t>• Masak denotes a hanging, screen, covering, or curtain.</w:t>
      </w:r>
    </w:p>
    <w:p w14:paraId="44D39952" w14:textId="77777777" w:rsidR="0034555F" w:rsidRDefault="0034555F">
      <w:r>
        <w:t>• Specifically, in the architectural descriptions of the Tabernacle, it refers to three distinct draperies or screens:</w:t>
      </w:r>
    </w:p>
    <w:p w14:paraId="17E70648" w14:textId="77777777" w:rsidR="0034555F" w:rsidRDefault="0034555F">
      <w:r>
        <w:t>• The screen at the entrance of the Outer Court (Exodus 27:16; 38:18).</w:t>
      </w:r>
    </w:p>
    <w:p w14:paraId="1AEA0E36" w14:textId="77777777" w:rsidR="0034555F" w:rsidRDefault="0034555F">
      <w:r>
        <w:t>• The screen at the entrance of the Holy Place / Tabernacle tent (Exodus 26:36; 36:37).</w:t>
      </w:r>
    </w:p>
    <w:p w14:paraId="6AE0649A" w14:textId="77777777" w:rsidR="0034555F" w:rsidRDefault="0034555F">
      <w:r>
        <w:t>• The "screening veil" (paroket hammasak) that shielded the Ark of the Testimony within the Holy of Holies (Exodus 35:12; 40:21).</w:t>
      </w:r>
    </w:p>
    <w:p w14:paraId="1103C94C" w14:textId="77777777" w:rsidR="0034555F" w:rsidRDefault="0034555F">
      <w:r>
        <w:t>• It is functionally distinguished from the paroket (the inner veil dividing the Holy Place from the Most Holy Place), although both served as barriers. The masak focused more on guarding outer and intermediate entrances.</w:t>
      </w:r>
    </w:p>
    <w:p w14:paraId="2447CD4A" w14:textId="77777777" w:rsidR="0034555F" w:rsidRDefault="0034555F"/>
    <w:p w14:paraId="6C6E325A" w14:textId="77777777" w:rsidR="0034555F" w:rsidRPr="0034555F" w:rsidRDefault="0034555F">
      <w:pPr>
        <w:rPr>
          <w:b/>
        </w:rPr>
      </w:pPr>
      <w:r w:rsidRPr="0034555F">
        <w:rPr>
          <w:b/>
        </w:rPr>
        <w:t>3. Usage and Word Pictures</w:t>
      </w:r>
    </w:p>
    <w:p w14:paraId="047181F2" w14:textId="77777777" w:rsidR="0034555F" w:rsidRDefault="0034555F">
      <w:r>
        <w:t>• The Tabernacle used masak to establish graded zones of holiness. The further inward one went, the more restricted the access.</w:t>
      </w:r>
    </w:p>
    <w:p w14:paraId="6FF79579" w14:textId="77777777" w:rsidR="0034555F" w:rsidRDefault="0034555F">
      <w:r>
        <w:t>• The screen of the gate of the court (Exodus 27:16) was the first point of transition. It was twenty cubits wide, made of blue, purple, and scarlet thread, and fine woven linen. This vibrant color scheme stood out in sharp contrast to the surrounding white linen hangings of the outer court, acting as a visual indicator pointing to the single entrance to God's presence.</w:t>
      </w:r>
    </w:p>
    <w:p w14:paraId="1590FA3A" w14:textId="77777777" w:rsidR="0034555F" w:rsidRDefault="0034555F">
      <w:r>
        <w:t>• The screen of the Tabernacle entrance (Exodus 26:36) was the second transition point, leading into the Holy Place where only the priests could enter.</w:t>
      </w:r>
    </w:p>
    <w:p w14:paraId="01DBE6D4" w14:textId="77777777" w:rsidR="0034555F" w:rsidRDefault="0034555F">
      <w:r>
        <w:t>• The concept of masak is also used metaphorically in Scripture to describe God’s protective covering over His people. For example, in Psalm 105:39, God spread a cloud for a "covering" (masak) to shelter Israel from the desert heat during their wilderness wanderings.</w:t>
      </w:r>
    </w:p>
    <w:p w14:paraId="7A4B1B70" w14:textId="77777777" w:rsidR="0034555F" w:rsidRDefault="0034555F"/>
    <w:p w14:paraId="7EA04BAC" w14:textId="77777777" w:rsidR="0034555F" w:rsidRPr="0034555F" w:rsidRDefault="0034555F">
      <w:pPr>
        <w:rPr>
          <w:b/>
        </w:rPr>
      </w:pPr>
      <w:r w:rsidRPr="0034555F">
        <w:rPr>
          <w:b/>
        </w:rPr>
        <w:t>4. Theological Implications</w:t>
      </w:r>
    </w:p>
    <w:p w14:paraId="4C7481BB" w14:textId="77777777" w:rsidR="0034555F" w:rsidRDefault="0034555F">
      <w:r>
        <w:t>• Approaching a Holy God: The masak teaches that God is accessible, but only on His terms and through the designated way. The screen kept the holy things from being treated as common, emphasizing the absolute holiness of God.</w:t>
      </w:r>
    </w:p>
    <w:p w14:paraId="43E966B5" w14:textId="77777777" w:rsidR="0034555F" w:rsidRDefault="0034555F">
      <w:r>
        <w:t>• The Single Entrance: There was only one entrance into the court of the Tabernacle, and it was marked by this beautiful screen. This serves as a powerful Old Testament type of Christ, who declared Himself to be "the door" (John 10:9) and "the way, the truth, and the life" (John 14:6).</w:t>
      </w:r>
    </w:p>
    <w:p w14:paraId="3A52AC21" w14:textId="77777777" w:rsidR="0034555F" w:rsidRDefault="0034555F">
      <w:r>
        <w:t>• Mediation and Access: The screen kept the visual gaze of the outside world out, requiring faith in the sacrificial system taking place behind it. It reminds worshipers that sinful humanity cannot gaze directly upon divine holiness without a mediator and a protective covering.</w:t>
      </w:r>
    </w:p>
    <w:p w14:paraId="3949289E" w14:textId="77777777" w:rsidR="0034555F" w:rsidRDefault="0034555F"/>
    <w:p w14:paraId="3477F5B6" w14:textId="77777777" w:rsidR="0034555F" w:rsidRPr="0034555F" w:rsidRDefault="0034555F">
      <w:pPr>
        <w:rPr>
          <w:b/>
        </w:rPr>
      </w:pPr>
      <w:r w:rsidRPr="0034555F">
        <w:rPr>
          <w:b/>
        </w:rPr>
        <w:t>5. Contextual Nuance in the Passage</w:t>
      </w:r>
    </w:p>
    <w:p w14:paraId="2FC65D89" w14:textId="77777777" w:rsidR="0034555F" w:rsidRDefault="0034555F">
      <w:r>
        <w:t>• In Exodus 27:16, the masak is the gate of the court. The court's total width was fifty cubits (Exodus 27:13), and this screen spanned twenty cubits in the center.</w:t>
      </w:r>
    </w:p>
    <w:p w14:paraId="19409630" w14:textId="77777777" w:rsidR="0034555F" w:rsidRDefault="0034555F">
      <w:r>
        <w:t>• This wide, colorful entrance was highly visible. While the rest of the court perimeter was surrounded by five-cubit-high hangings of plain fine-twined white linen (Exodus 27:9), this entrance screen burst with royal colors: blue (heavenly origin), purple (royalty), and scarlet (blood, sacrifice, and humanity), woven with fine linen.</w:t>
      </w:r>
    </w:p>
    <w:p w14:paraId="2621CFCA" w14:textId="77777777" w:rsidR="0034555F" w:rsidRDefault="0034555F">
      <w:r>
        <w:t>• The massive size of the gate (twenty cubits, or about thirty feet) meant that the entrance was spacious and accommodating. It signaled that although God's dwelling was holy and separated, there was an open, wide, and beautiful invitation for the repentant Israelite to bring their sacrifice and enter His presence.</w:t>
      </w:r>
    </w:p>
    <w:p w14:paraId="32E9DDBB" w14:textId="77777777" w:rsidR="0034555F" w:rsidRDefault="0034555F"/>
    <w:p w14:paraId="0EB707AD" w14:textId="77777777" w:rsidR="0034555F" w:rsidRPr="0034555F" w:rsidRDefault="0034555F">
      <w:pPr>
        <w:rPr>
          <w:b/>
        </w:rPr>
      </w:pPr>
      <w:r w:rsidRPr="0034555F">
        <w:rPr>
          <w:b/>
        </w:rPr>
        <w:t>6. Key Uses in Other Verses (NKJV)</w:t>
      </w:r>
    </w:p>
    <w:p w14:paraId="573BCC71" w14:textId="77777777" w:rsidR="0034555F" w:rsidRDefault="0034555F">
      <w:r>
        <w:t>• Exodus 26:36: "You shall make a screen for the door of the tabernacle, woven of blue, purple, and scarlet thread, and fine woven linen, made by an weaver."</w:t>
      </w:r>
    </w:p>
    <w:p w14:paraId="3995E11C" w14:textId="77777777" w:rsidR="0034555F" w:rsidRDefault="0034555F">
      <w:r>
        <w:t>• Exodus 35:12: "The ark and its poles, with the mercy seat, and the veil of the screen;"</w:t>
      </w:r>
    </w:p>
    <w:p w14:paraId="16E905C0" w14:textId="77777777" w:rsidR="0034555F" w:rsidRDefault="0034555F">
      <w:r>
        <w:t>• Exodus 39:40: "the hangings of the court, its pillars and its sockets, the screen for the court gate, its cords, and its pegs..."</w:t>
      </w:r>
    </w:p>
    <w:p w14:paraId="5B64B1F5" w14:textId="77777777" w:rsidR="0034555F" w:rsidRDefault="0034555F">
      <w:r>
        <w:t>• Numbers 3:25: "The duties of the children of Gershon in the tabernacle of meeting included the tabernacle, the tent with its covering, the screen for the door of the tabernacle of meeting,"</w:t>
      </w:r>
    </w:p>
    <w:p w14:paraId="01138495" w14:textId="77777777" w:rsidR="0034555F" w:rsidRDefault="0034555F">
      <w:r>
        <w:t>• Psalm 105:39: "He spread a cloud for a covering, And fire to give light in the night."</w:t>
      </w:r>
    </w:p>
    <w:p w14:paraId="6627210F" w14:textId="77777777" w:rsidR="0034555F" w:rsidRDefault="0034555F"/>
    <w:p w14:paraId="664E504F" w14:textId="77777777" w:rsidR="0034555F" w:rsidRPr="0034555F" w:rsidRDefault="0034555F">
      <w:pPr>
        <w:rPr>
          <w:b/>
        </w:rPr>
      </w:pPr>
      <w:r w:rsidRPr="0034555F">
        <w:rPr>
          <w:b/>
        </w:rPr>
        <w:t>7. Other Relevant Insights</w:t>
      </w:r>
    </w:p>
    <w:p w14:paraId="098BE380" w14:textId="77777777" w:rsidR="0034555F" w:rsidRDefault="0034555F">
      <w:r>
        <w:t>• The screen was suspended on four pillars of acacia wood overlaid with gold, resting on bronze sockets (Exodus 27:16). This structural integration of precious materials (gold, bronze, and colored linen) mirrored the physical and spiritual journey inward: bronze was used heavily in the outer court, while gold was reserved for the inner sanctuaries.</w:t>
      </w:r>
    </w:p>
    <w:p w14:paraId="1A03EE65" w14:textId="77777777" w:rsidR="0034555F" w:rsidRDefault="0034555F">
      <w:r>
        <w:t>• The Hebrew text distinguishes the craftsmanship of the outer screen (masak) from the inner veil (paroket). The inner veil was made by an "artistic designer" and featured embroidered cherubim (Exodus 26:31), whereas the outer screen of the gate was made by a "weaver" without cherubim (Exodus 27:16). This reflects a deliberate hierarchy of holiness and visual revelation.</w:t>
      </w:r>
    </w:p>
    <w:p w14:paraId="7EB6BD26" w14:textId="77777777" w:rsidR="0034555F" w:rsidRDefault="0034555F"/>
    <w:p w14:paraId="1F25060C" w14:textId="77777777" w:rsidR="0034555F" w:rsidRPr="0034555F" w:rsidRDefault="0034555F">
      <w:pPr>
        <w:rPr>
          <w:b/>
        </w:rPr>
      </w:pPr>
      <w:r w:rsidRPr="0034555F">
        <w:rPr>
          <w:b/>
        </w:rPr>
        <w:t>8. References</w:t>
      </w:r>
    </w:p>
    <w:p w14:paraId="415BE16D" w14:textId="77777777" w:rsidR="0034555F" w:rsidRDefault="0034555F">
      <w:r>
        <w:t>• Brown, Francis, S.R. Driver, and Charles A. Briggs. The Brown-Driver-Briggs Hebrew and English Lexicon.</w:t>
      </w:r>
    </w:p>
    <w:p w14:paraId="4CA23100" w14:textId="77777777" w:rsidR="0034555F" w:rsidRDefault="0034555F">
      <w:r>
        <w:t>• Harris, R. Laird, Gleason L. Archer Jr., and Bruce K. Waltke. Theological Wordbook of the Old Testament.</w:t>
      </w:r>
    </w:p>
    <w:p w14:paraId="503FD004" w14:textId="77777777" w:rsidR="0034555F" w:rsidRDefault="0034555F">
      <w:r>
        <w:t>• Koehler, Ludwig, and Walter Baumgartner. The Hebrew and Aramaic Lexicon of the Old Testament.</w:t>
      </w:r>
    </w:p>
    <w:p w14:paraId="3FD641F7" w14:textId="77777777" w:rsidR="0034555F" w:rsidRDefault="0034555F">
      <w:r>
        <w:t>• Spurgeon, Charles H. The Treasury of David.</w:t>
      </w:r>
    </w:p>
    <w:p w14:paraId="70384CCC" w14:textId="2FFBFC6F" w:rsidR="004C5552" w:rsidRDefault="0034555F">
      <w:r>
        <w:t>• Wiersbe, Warren W. Be Delivered: Finding Freedom by Following God.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555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B882"/>
  <w15:chartTrackingRefBased/>
  <w15:docId w15:val="{2C9A126C-C677-4D81-B1B9-F0053C23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55F"/>
    <w:rPr>
      <w:rFonts w:eastAsiaTheme="majorEastAsia" w:cstheme="majorBidi"/>
      <w:color w:val="272727" w:themeColor="text1" w:themeTint="D8"/>
    </w:rPr>
  </w:style>
  <w:style w:type="paragraph" w:styleId="Title">
    <w:name w:val="Title"/>
    <w:basedOn w:val="Normal"/>
    <w:next w:val="Normal"/>
    <w:link w:val="TitleChar"/>
    <w:uiPriority w:val="10"/>
    <w:qFormat/>
    <w:rsid w:val="0034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55F"/>
    <w:pPr>
      <w:spacing w:before="160"/>
      <w:jc w:val="center"/>
    </w:pPr>
    <w:rPr>
      <w:i/>
      <w:iCs/>
      <w:color w:val="404040" w:themeColor="text1" w:themeTint="BF"/>
    </w:rPr>
  </w:style>
  <w:style w:type="character" w:customStyle="1" w:styleId="QuoteChar">
    <w:name w:val="Quote Char"/>
    <w:basedOn w:val="DefaultParagraphFont"/>
    <w:link w:val="Quote"/>
    <w:uiPriority w:val="29"/>
    <w:rsid w:val="0034555F"/>
    <w:rPr>
      <w:i/>
      <w:iCs/>
      <w:color w:val="404040" w:themeColor="text1" w:themeTint="BF"/>
    </w:rPr>
  </w:style>
  <w:style w:type="paragraph" w:styleId="ListParagraph">
    <w:name w:val="List Paragraph"/>
    <w:basedOn w:val="Normal"/>
    <w:uiPriority w:val="34"/>
    <w:qFormat/>
    <w:rsid w:val="0034555F"/>
    <w:pPr>
      <w:ind w:left="720"/>
      <w:contextualSpacing/>
    </w:pPr>
  </w:style>
  <w:style w:type="character" w:styleId="IntenseEmphasis">
    <w:name w:val="Intense Emphasis"/>
    <w:basedOn w:val="DefaultParagraphFont"/>
    <w:uiPriority w:val="21"/>
    <w:qFormat/>
    <w:rsid w:val="0034555F"/>
    <w:rPr>
      <w:i/>
      <w:iCs/>
      <w:color w:val="2E74B5" w:themeColor="accent1" w:themeShade="BF"/>
    </w:rPr>
  </w:style>
  <w:style w:type="paragraph" w:styleId="IntenseQuote">
    <w:name w:val="Intense Quote"/>
    <w:basedOn w:val="Normal"/>
    <w:next w:val="Normal"/>
    <w:link w:val="IntenseQuoteChar"/>
    <w:uiPriority w:val="30"/>
    <w:qFormat/>
    <w:rsid w:val="003455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555F"/>
    <w:rPr>
      <w:i/>
      <w:iCs/>
      <w:color w:val="2E74B5" w:themeColor="accent1" w:themeShade="BF"/>
    </w:rPr>
  </w:style>
  <w:style w:type="character" w:styleId="IntenseReference">
    <w:name w:val="Intense Reference"/>
    <w:basedOn w:val="DefaultParagraphFont"/>
    <w:uiPriority w:val="32"/>
    <w:qFormat/>
    <w:rsid w:val="003455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