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02AE" w14:textId="77777777" w:rsidR="00997257" w:rsidRPr="00997257" w:rsidRDefault="00997257">
      <w:pPr>
        <w:rPr>
          <w:b/>
        </w:rPr>
      </w:pPr>
      <w:r w:rsidRPr="00997257">
        <w:rPr>
          <w:b/>
        </w:rPr>
        <w:t>STATUTE - ( chuqqah , Strong's H2708 )</w:t>
      </w:r>
    </w:p>
    <w:p w14:paraId="7FDF6014" w14:textId="77777777" w:rsidR="00997257" w:rsidRDefault="00997257">
      <w:r w:rsidRPr="00997257">
        <w:rPr>
          <w:b/>
        </w:rPr>
        <w:t>Summary:</w:t>
      </w:r>
    </w:p>
    <w:p w14:paraId="347D9539" w14:textId="77777777" w:rsidR="00997257" w:rsidRDefault="00997257">
      <w:r>
        <w:t>The Hebrew word chuqqah refers to an enactment, decree, or prescribed limit established by an authority. Derived from a root meaning "to engrave" or "to carve," it carries the vivid imagery of a law permanently chiseled into stone, representing an unalterable, binding obligation. In Exodus 27:21, it designates the continuous tending of the Tabernacle's golden lampstand by Aaron and his descendants as a perpetual, non-negotiable duty—a visual, enduring testimony of God's dwelling among His people that must never be allowed to go out.</w:t>
      </w:r>
    </w:p>
    <w:p w14:paraId="37A1FA4D" w14:textId="77777777" w:rsidR="00997257" w:rsidRDefault="00997257"/>
    <w:p w14:paraId="57770C67" w14:textId="77777777" w:rsidR="00997257" w:rsidRDefault="00997257">
      <w:r w:rsidRPr="00997257">
        <w:rPr>
          <w:b/>
        </w:rPr>
        <w:t>Full Study:</w:t>
      </w:r>
    </w:p>
    <w:p w14:paraId="2D78F047" w14:textId="77777777" w:rsidR="00997257" w:rsidRDefault="00997257"/>
    <w:p w14:paraId="78F338F7" w14:textId="77777777" w:rsidR="00997257" w:rsidRPr="00997257" w:rsidRDefault="00997257">
      <w:pPr>
        <w:rPr>
          <w:b/>
        </w:rPr>
      </w:pPr>
      <w:r w:rsidRPr="00997257">
        <w:rPr>
          <w:b/>
        </w:rPr>
        <w:t>1. Word Picture / Background</w:t>
      </w:r>
    </w:p>
    <w:p w14:paraId="36AFA1EC" w14:textId="77777777" w:rsidR="00997257" w:rsidRDefault="00997257">
      <w:r>
        <w:t>• Chuqqah is derived from the root verb chaqaq, which means to engrave, carve, or cut in.</w:t>
      </w:r>
    </w:p>
    <w:p w14:paraId="2D9EADF5" w14:textId="77777777" w:rsidR="00997257" w:rsidRDefault="00997257">
      <w:r>
        <w:t>• This root points to the ancient practice of carving laws, decrees, or boundaries into permanent surfaces like stone monument steles, clay tablets, or metal plates. Such inscriptions were visible, public, and unalterable.</w:t>
      </w:r>
    </w:p>
    <w:p w14:paraId="4630AFC7" w14:textId="77777777" w:rsidR="00997257" w:rsidRDefault="00997257">
      <w:r>
        <w:t>• A chuqqah is therefore not a temporary suggestion or a flexible guideline, but a permanently engraved boundary or decree set by a sovereign. It speaks of structural stability, divine design, and absolute permanence.</w:t>
      </w:r>
    </w:p>
    <w:p w14:paraId="6D44AFFF" w14:textId="77777777" w:rsidR="00997257" w:rsidRDefault="00997257"/>
    <w:p w14:paraId="24CFD2C1" w14:textId="77777777" w:rsidR="00997257" w:rsidRPr="00997257" w:rsidRDefault="00997257">
      <w:pPr>
        <w:rPr>
          <w:b/>
        </w:rPr>
      </w:pPr>
      <w:r w:rsidRPr="00997257">
        <w:rPr>
          <w:b/>
        </w:rPr>
        <w:t>2. Meaning / Lexical Definition</w:t>
      </w:r>
    </w:p>
    <w:p w14:paraId="32849950" w14:textId="77777777" w:rsidR="00997257" w:rsidRDefault="00997257">
      <w:r>
        <w:t>• Chuqqah is a feminine noun meaning an enactment, statute, prescription, custom, or decree.</w:t>
      </w:r>
    </w:p>
    <w:p w14:paraId="54B1E0A3" w14:textId="77777777" w:rsidR="00997257" w:rsidRDefault="00997257">
      <w:r>
        <w:t>• It is closely related to the masculine noun choq, which also refers to a prescribed limit, law, or portion.</w:t>
      </w:r>
    </w:p>
    <w:p w14:paraId="546AC37C" w14:textId="77777777" w:rsidR="00997257" w:rsidRDefault="00997257">
      <w:r>
        <w:t>• In biblical law, it denotes a specific, fixed rule established by God, particularly those governing religious ceremonies, civil order, and moral boundaries. It represents a boundary that must not be crossed and a duty that must be strictly observed.</w:t>
      </w:r>
    </w:p>
    <w:p w14:paraId="3997C608" w14:textId="77777777" w:rsidR="00997257" w:rsidRDefault="00997257"/>
    <w:p w14:paraId="017324F2" w14:textId="77777777" w:rsidR="00997257" w:rsidRPr="00997257" w:rsidRDefault="00997257">
      <w:pPr>
        <w:rPr>
          <w:b/>
        </w:rPr>
      </w:pPr>
      <w:r w:rsidRPr="00997257">
        <w:rPr>
          <w:b/>
        </w:rPr>
        <w:t>3. Usage and Word Pictures</w:t>
      </w:r>
    </w:p>
    <w:p w14:paraId="4F9B7E6B" w14:textId="77777777" w:rsidR="00997257" w:rsidRDefault="00997257">
      <w:r>
        <w:t>• The underlying picture of "engraving" highlights the stability of the Divine Lawgiver. While human customs shift, God's chuqqah is carved in stone.</w:t>
      </w:r>
    </w:p>
    <w:p w14:paraId="229AA53F" w14:textId="77777777" w:rsidR="00997257" w:rsidRDefault="00997257">
      <w:r>
        <w:t>• Beyond legal codes, the word is used of the natural order—the "statutes" or "ordinances" of the heavens and the earth, such as the fixed paths of the stars or the boundaries of the sea. This connects moral and ceremonial laws directly to the sovereign Creator who ordered the physical universe.</w:t>
      </w:r>
    </w:p>
    <w:p w14:paraId="1D033034" w14:textId="77777777" w:rsidR="00997257" w:rsidRDefault="00997257">
      <w:r>
        <w:t>• When applied to the Tabernacle and priesthood, it emphasizes that worship is not an area for human innovation or personal preference; it is structured by divine prescription.</w:t>
      </w:r>
    </w:p>
    <w:p w14:paraId="6E25DE56" w14:textId="77777777" w:rsidR="00997257" w:rsidRDefault="00997257"/>
    <w:p w14:paraId="5A8012B3" w14:textId="77777777" w:rsidR="00997257" w:rsidRPr="00997257" w:rsidRDefault="00997257">
      <w:pPr>
        <w:rPr>
          <w:b/>
        </w:rPr>
      </w:pPr>
      <w:r w:rsidRPr="00997257">
        <w:rPr>
          <w:b/>
        </w:rPr>
        <w:t>4. Theological Implications</w:t>
      </w:r>
    </w:p>
    <w:p w14:paraId="6703084A" w14:textId="77777777" w:rsidR="00997257" w:rsidRDefault="00997257">
      <w:r>
        <w:t>• God's decrees are expressions of His immutable character. Just as He set boundaries for physical creation, He sets spiritual and moral boundaries for His covenant people.</w:t>
      </w:r>
    </w:p>
    <w:p w14:paraId="0583134D" w14:textId="77777777" w:rsidR="00997257" w:rsidRDefault="00997257">
      <w:r>
        <w:t>• The use of chuqqah in worship contexts shows that God determines how He is to be approached. True worship requires obedience to His prescribed ways rather than human creativity.</w:t>
      </w:r>
    </w:p>
    <w:p w14:paraId="1EF5E4C8" w14:textId="77777777" w:rsidR="00997257" w:rsidRDefault="00997257">
      <w:r>
        <w:t>• The phrase "statute forever" (chuqqat olam) links the physical actions of the priests to an eternal, spiritual reality, pointing forward to the ultimate fulfillment of these shadows in the permanent priesthood and ministry of Jesus Christ.</w:t>
      </w:r>
    </w:p>
    <w:p w14:paraId="437E6A06" w14:textId="77777777" w:rsidR="00997257" w:rsidRDefault="00997257"/>
    <w:p w14:paraId="61FE4C43" w14:textId="77777777" w:rsidR="00997257" w:rsidRPr="00997257" w:rsidRDefault="00997257">
      <w:pPr>
        <w:rPr>
          <w:b/>
        </w:rPr>
      </w:pPr>
      <w:r w:rsidRPr="00997257">
        <w:rPr>
          <w:b/>
        </w:rPr>
        <w:t>5. Contextual Nuance in the Passage</w:t>
      </w:r>
    </w:p>
    <w:p w14:paraId="700B2BB7" w14:textId="77777777" w:rsidR="00997257" w:rsidRDefault="00997257">
      <w:r>
        <w:t>• In Exodus 27:21, the chuqqah concerns the tending of the golden lampstand (Menorah) inside the Tabernacle "from evening until morning."</w:t>
      </w:r>
    </w:p>
    <w:p w14:paraId="40ECDDBD" w14:textId="77777777" w:rsidR="00997257" w:rsidRDefault="00997257">
      <w:r>
        <w:t>• This daily ritual was not mere sanctuary housekeeping; it was a vital spiritual testimony. The light represented the presence of God, His guidance, and His revelation shining in a dark world.</w:t>
      </w:r>
    </w:p>
    <w:p w14:paraId="248A871A" w14:textId="77777777" w:rsidR="00997257" w:rsidRDefault="00997257">
      <w:r>
        <w:t>• By calling this requirement a "statute forever," God elevated a routine physical task into a perpetual spiritual obligation. It established that keeping the light burning was an unalterable boundary of priestly service, symbolizing Israel's calling to be a light to the nations and anticipating Christ, the true Light of the World, who keeps the lamp of His Church burning perpetually.</w:t>
      </w:r>
    </w:p>
    <w:p w14:paraId="19D9BC82" w14:textId="77777777" w:rsidR="00997257" w:rsidRDefault="00997257"/>
    <w:p w14:paraId="0D8110A7" w14:textId="77777777" w:rsidR="00997257" w:rsidRPr="00997257" w:rsidRDefault="00997257">
      <w:pPr>
        <w:rPr>
          <w:b/>
        </w:rPr>
      </w:pPr>
      <w:r w:rsidRPr="00997257">
        <w:rPr>
          <w:b/>
        </w:rPr>
        <w:t>6. Key Uses in Other Verses (NKJV)</w:t>
      </w:r>
    </w:p>
    <w:p w14:paraId="61D8AB13" w14:textId="77777777" w:rsidR="00997257" w:rsidRDefault="00997257">
      <w:r>
        <w:t>• Genesis 26:5: "because Abraham obeyed My voice and kept My charge, My commandments, My statutes (chuqqah), and My laws."</w:t>
      </w:r>
    </w:p>
    <w:p w14:paraId="231652A7" w14:textId="77777777" w:rsidR="00997257" w:rsidRDefault="00997257">
      <w:r>
        <w:t>• Exodus 12:14: "So this day shall be to you a memorial; and you shall keep it as a feast to the LORD throughout your generations. You shall keep it as a feast by an everlasting ordinance (chuqqah)."</w:t>
      </w:r>
    </w:p>
    <w:p w14:paraId="7F7ACC34" w14:textId="77777777" w:rsidR="00997257" w:rsidRDefault="00997257">
      <w:r>
        <w:t>• Leviticus 16:34: "This shall be an everlasting statute (chuqqah) for you, to make atonement for the children of Israel, for all their sins, once a year."</w:t>
      </w:r>
    </w:p>
    <w:p w14:paraId="7A0029E5" w14:textId="77777777" w:rsidR="00997257" w:rsidRDefault="00997257">
      <w:r>
        <w:t>• Numbers 19:2: "This is the ordinance (chuqqah) of the law which the LORD has commanded..."</w:t>
      </w:r>
    </w:p>
    <w:p w14:paraId="018968ED" w14:textId="77777777" w:rsidR="00997257" w:rsidRDefault="00997257"/>
    <w:p w14:paraId="6355F23F" w14:textId="77777777" w:rsidR="00997257" w:rsidRPr="00997257" w:rsidRDefault="00997257">
      <w:pPr>
        <w:rPr>
          <w:b/>
        </w:rPr>
      </w:pPr>
      <w:r w:rsidRPr="00997257">
        <w:rPr>
          <w:b/>
        </w:rPr>
        <w:t>7. Other Relevant Insights</w:t>
      </w:r>
    </w:p>
    <w:p w14:paraId="587CF8E7" w14:textId="77777777" w:rsidR="00997257" w:rsidRDefault="00997257">
      <w:r>
        <w:t>• In the Old Testament, chuqqah is frequently paired with other legal terms like mitzvah (commandment), mishpat (judgment/ordinance), and torah (law/instruction).</w:t>
      </w:r>
    </w:p>
    <w:p w14:paraId="0EFE6172" w14:textId="77777777" w:rsidR="00997257" w:rsidRDefault="00997257">
      <w:r>
        <w:t>• While mishpat often refers to civil justice or decisions based on specific scenarios, chuqqah refers to the absolute, sovereign decrees of God. These often include ceremonial and ritual requirements that may not have an obvious rational explanation to human reason, demanding pure obedience based solely on the authority of the Sovereign who "engraved" them.</w:t>
      </w:r>
    </w:p>
    <w:p w14:paraId="55FEAB5B" w14:textId="77777777" w:rsidR="00997257" w:rsidRDefault="00997257"/>
    <w:p w14:paraId="2292F341" w14:textId="77777777" w:rsidR="00997257" w:rsidRPr="00997257" w:rsidRDefault="00997257">
      <w:pPr>
        <w:rPr>
          <w:b/>
        </w:rPr>
      </w:pPr>
      <w:r w:rsidRPr="00997257">
        <w:rPr>
          <w:b/>
        </w:rPr>
        <w:t>8. References</w:t>
      </w:r>
    </w:p>
    <w:p w14:paraId="3B9C044A" w14:textId="77777777" w:rsidR="00997257" w:rsidRDefault="00997257">
      <w:r>
        <w:t>• Brown, F., Driver, S. R., &amp; Briggs, C. A. (1907). Enhanced Brown-Driver-Briggs Hebrew and English Lexicon.</w:t>
      </w:r>
    </w:p>
    <w:p w14:paraId="7727B34F" w14:textId="77777777" w:rsidR="00997257" w:rsidRDefault="00997257">
      <w:r>
        <w:t>• Harris, R. L., Archer, G. L., Jr., &amp; Waltke, B. K. (Eds.). (1980). Theological Wordbook of the Old Testament.</w:t>
      </w:r>
    </w:p>
    <w:p w14:paraId="0F77EC4E" w14:textId="77777777" w:rsidR="00997257" w:rsidRDefault="00997257">
      <w:r>
        <w:t>• Koehler, L., Baumgartner, W., Richardson, M. E. J., &amp; Stamm, J. J. (1994–2000). The Hebrew and Aramaic Lexicon of the Old Testament.</w:t>
      </w:r>
    </w:p>
    <w:p w14:paraId="56F9E83D" w14:textId="06B12EF3" w:rsidR="004C5552" w:rsidRDefault="00997257">
      <w:r>
        <w:t>• VanGemeren, W. A. (Ed.).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25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97257"/>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CFADB"/>
  <w15:chartTrackingRefBased/>
  <w15:docId w15:val="{4E6195A2-1412-43DF-9753-8AF54CEAE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7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7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257"/>
    <w:rPr>
      <w:rFonts w:eastAsiaTheme="majorEastAsia" w:cstheme="majorBidi"/>
      <w:color w:val="272727" w:themeColor="text1" w:themeTint="D8"/>
    </w:rPr>
  </w:style>
  <w:style w:type="paragraph" w:styleId="Title">
    <w:name w:val="Title"/>
    <w:basedOn w:val="Normal"/>
    <w:next w:val="Normal"/>
    <w:link w:val="TitleChar"/>
    <w:uiPriority w:val="10"/>
    <w:qFormat/>
    <w:rsid w:val="00997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257"/>
    <w:pPr>
      <w:spacing w:before="160"/>
      <w:jc w:val="center"/>
    </w:pPr>
    <w:rPr>
      <w:i/>
      <w:iCs/>
      <w:color w:val="404040" w:themeColor="text1" w:themeTint="BF"/>
    </w:rPr>
  </w:style>
  <w:style w:type="character" w:customStyle="1" w:styleId="QuoteChar">
    <w:name w:val="Quote Char"/>
    <w:basedOn w:val="DefaultParagraphFont"/>
    <w:link w:val="Quote"/>
    <w:uiPriority w:val="29"/>
    <w:rsid w:val="00997257"/>
    <w:rPr>
      <w:i/>
      <w:iCs/>
      <w:color w:val="404040" w:themeColor="text1" w:themeTint="BF"/>
    </w:rPr>
  </w:style>
  <w:style w:type="paragraph" w:styleId="ListParagraph">
    <w:name w:val="List Paragraph"/>
    <w:basedOn w:val="Normal"/>
    <w:uiPriority w:val="34"/>
    <w:qFormat/>
    <w:rsid w:val="00997257"/>
    <w:pPr>
      <w:ind w:left="720"/>
      <w:contextualSpacing/>
    </w:pPr>
  </w:style>
  <w:style w:type="character" w:styleId="IntenseEmphasis">
    <w:name w:val="Intense Emphasis"/>
    <w:basedOn w:val="DefaultParagraphFont"/>
    <w:uiPriority w:val="21"/>
    <w:qFormat/>
    <w:rsid w:val="00997257"/>
    <w:rPr>
      <w:i/>
      <w:iCs/>
      <w:color w:val="2E74B5" w:themeColor="accent1" w:themeShade="BF"/>
    </w:rPr>
  </w:style>
  <w:style w:type="paragraph" w:styleId="IntenseQuote">
    <w:name w:val="Intense Quote"/>
    <w:basedOn w:val="Normal"/>
    <w:next w:val="Normal"/>
    <w:link w:val="IntenseQuoteChar"/>
    <w:uiPriority w:val="30"/>
    <w:qFormat/>
    <w:rsid w:val="0099725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7257"/>
    <w:rPr>
      <w:i/>
      <w:iCs/>
      <w:color w:val="2E74B5" w:themeColor="accent1" w:themeShade="BF"/>
    </w:rPr>
  </w:style>
  <w:style w:type="character" w:styleId="IntenseReference">
    <w:name w:val="Intense Reference"/>
    <w:basedOn w:val="DefaultParagraphFont"/>
    <w:uiPriority w:val="32"/>
    <w:qFormat/>
    <w:rsid w:val="0099725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793</Words>
  <Characters>4522</Characters>
  <Application>Microsoft Office Word</Application>
  <DocSecurity>0</DocSecurity>
  <Lines>37</Lines>
  <Paragraphs>10</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