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B00DE" w14:textId="77777777" w:rsidR="0043189A" w:rsidRPr="0043189A" w:rsidRDefault="0043189A">
      <w:pPr>
        <w:rPr>
          <w:b/>
        </w:rPr>
      </w:pPr>
      <w:r w:rsidRPr="0043189A">
        <w:rPr>
          <w:b/>
        </w:rPr>
        <w:t>BASINS - ( mizraq , Strong's H4219 )</w:t>
      </w:r>
    </w:p>
    <w:p w14:paraId="7BB0EA7E" w14:textId="77777777" w:rsidR="0043189A" w:rsidRDefault="0043189A">
      <w:r w:rsidRPr="0043189A">
        <w:rPr>
          <w:b/>
        </w:rPr>
        <w:t>Summary:</w:t>
      </w:r>
    </w:p>
    <w:p w14:paraId="28906801" w14:textId="77777777" w:rsidR="0043189A" w:rsidRDefault="0043189A">
      <w:r>
        <w:t>The Hebrew noun mizraq refers to a specialized sacred bowl or basin used primarily in the tabernacle and temple rituals. Derived from a root meaning "to sprinkle" or "to toss," these basins were specifically designed to catch the blood of sacrificed animals so it could be dashed or thrown against the sides of the altar. In Exodus 27:3, these bronze basins are listed among the essential utensils for the altar of burnt offering, highlighting their indispensable role in the administrative and sacrificial mechanics of atonement, covenant maintenance, and ceremonial cleansing.</w:t>
      </w:r>
    </w:p>
    <w:p w14:paraId="67510E97" w14:textId="77777777" w:rsidR="0043189A" w:rsidRDefault="0043189A"/>
    <w:p w14:paraId="284DF2B8" w14:textId="77777777" w:rsidR="0043189A" w:rsidRDefault="0043189A">
      <w:r w:rsidRPr="0043189A">
        <w:rPr>
          <w:b/>
        </w:rPr>
        <w:t>Full Study:</w:t>
      </w:r>
    </w:p>
    <w:p w14:paraId="34AA8C8E" w14:textId="77777777" w:rsidR="0043189A" w:rsidRDefault="0043189A"/>
    <w:p w14:paraId="3ABC1DAA" w14:textId="77777777" w:rsidR="0043189A" w:rsidRPr="0043189A" w:rsidRDefault="0043189A">
      <w:pPr>
        <w:rPr>
          <w:b/>
        </w:rPr>
      </w:pPr>
      <w:r w:rsidRPr="0043189A">
        <w:rPr>
          <w:b/>
        </w:rPr>
        <w:t>1. Word Picture / Background</w:t>
      </w:r>
    </w:p>
    <w:p w14:paraId="78AFE1AC" w14:textId="77777777" w:rsidR="0043189A" w:rsidRDefault="0043189A">
      <w:r>
        <w:t>The word mizraq is derived from the verbal root zaraq (H2236), which means to throw, scatter, toss, or sprinkle. Etymologically, a mizraq is a "sprinkling vessel" or a "tossing bowl." Its physical design was wide and shallow, engineered specifically to catch the maximum amount of blood draining from a sacrificed animal. Unlike domestic bowls used for eating or washing, the mizraq was designed to carry life-blood to the altar. The physical action associated with this vessel was not a delicate droplet-by-droplet sprinkling, but a forceful tossing or dashing of blood against the sides of the altar to satisfy the ritual demands of the covenant.</w:t>
      </w:r>
    </w:p>
    <w:p w14:paraId="33A20B03" w14:textId="77777777" w:rsidR="0043189A" w:rsidRDefault="0043189A"/>
    <w:p w14:paraId="4A3F1447" w14:textId="77777777" w:rsidR="0043189A" w:rsidRPr="0043189A" w:rsidRDefault="0043189A">
      <w:pPr>
        <w:rPr>
          <w:b/>
        </w:rPr>
      </w:pPr>
      <w:r w:rsidRPr="0043189A">
        <w:rPr>
          <w:b/>
        </w:rPr>
        <w:t>2. Meaning / Lexical Definition</w:t>
      </w:r>
    </w:p>
    <w:p w14:paraId="1B48A4A3" w14:textId="77777777" w:rsidR="0043189A" w:rsidRDefault="0043189A">
      <w:r>
        <w:t>A mizraq is a bowl, basin, or tossing vessel used for ritual purposes. In classical Hebrew, it designates a sacrificial container made of metal (bronze, silver, or gold) used to collect, transport, and throw liquids—primarily sacrificial blood, but also wine for drink offerings. It is distinguished from generic bowls by its explicit association with the sacrificial altar and the action of throwing or sprinkling.</w:t>
      </w:r>
    </w:p>
    <w:p w14:paraId="65890490" w14:textId="77777777" w:rsidR="0043189A" w:rsidRDefault="0043189A"/>
    <w:p w14:paraId="02D34FFE" w14:textId="77777777" w:rsidR="0043189A" w:rsidRPr="0043189A" w:rsidRDefault="0043189A">
      <w:pPr>
        <w:rPr>
          <w:b/>
        </w:rPr>
      </w:pPr>
      <w:r w:rsidRPr="0043189A">
        <w:rPr>
          <w:b/>
        </w:rPr>
        <w:t>3. Usage and Word Pictures</w:t>
      </w:r>
    </w:p>
    <w:p w14:paraId="3235597E" w14:textId="77777777" w:rsidR="0043189A" w:rsidRDefault="0043189A">
      <w:r>
        <w:t>In the Old Testament, the mizraq appears in several distinct contexts:</w:t>
      </w:r>
    </w:p>
    <w:p w14:paraId="5B999F79" w14:textId="77777777" w:rsidR="0043189A" w:rsidRDefault="0043189A">
      <w:r>
        <w:t>• Sacrificial Ministry: The primary use of these basins was the containment and manipulation of blood. Priests carried the blood from the place of slaughter to the altar in these vessels.</w:t>
      </w:r>
    </w:p>
    <w:p w14:paraId="585191BB" w14:textId="77777777" w:rsidR="0043189A" w:rsidRDefault="0043189A">
      <w:r>
        <w:t>• Dedication Offerings: During the dedication of the tabernacle, the leaders of Israel presented silver basins (often translated "bowls" in Numbers 7) filled with fine flour mixed with oil for a grain offering, demonstrating that these vessels could also hold dry or semi-liquid holy offerings.</w:t>
      </w:r>
    </w:p>
    <w:p w14:paraId="61D3D2A5" w14:textId="77777777" w:rsidR="0043189A" w:rsidRDefault="0043189A">
      <w:r>
        <w:t>• Secular Overindulgence: In Amos 6:6, the prophet rebukes the wealthy elites of Samaria who "drink wine from bowls (mizraqim)." This uses the sacred, large-capacity sacrificial vessel as a picture of gross, indulgent excess, showing that they used large basins meant for worship to satisfy their gluttony.</w:t>
      </w:r>
    </w:p>
    <w:p w14:paraId="6ABAF64D" w14:textId="77777777" w:rsidR="0043189A" w:rsidRDefault="0043189A"/>
    <w:p w14:paraId="72C69BD7" w14:textId="77777777" w:rsidR="0043189A" w:rsidRPr="0043189A" w:rsidRDefault="0043189A">
      <w:pPr>
        <w:rPr>
          <w:b/>
        </w:rPr>
      </w:pPr>
      <w:r w:rsidRPr="0043189A">
        <w:rPr>
          <w:b/>
        </w:rPr>
        <w:t>4. Theological Implications</w:t>
      </w:r>
    </w:p>
    <w:p w14:paraId="2CAA59DB" w14:textId="77777777" w:rsidR="0043189A" w:rsidRDefault="0043189A">
      <w:r>
        <w:t>The mizraq is intimately tied to the theology of atonement and the covenant. Leviticus 17:11 establishes that the life of the flesh is in the blood, given upon the altar to make atonement for souls. Because the mizraq was the physical vehicle that carried this life-blood from the victim to the altar, it represents the vital link between sacrifice and application. Without the basin, the blood could not be cleanly gathered or properly applied. Thus, these basins represent the meticulous care and precise administration God required in handling the blood of atonement—a physical foreshadowing of the perfect, clean application of the blood of Christ to the believer's conscience (Hebrews 9:13–14).</w:t>
      </w:r>
    </w:p>
    <w:p w14:paraId="7E8A1AB9" w14:textId="77777777" w:rsidR="0043189A" w:rsidRDefault="0043189A"/>
    <w:p w14:paraId="39ECEDAB" w14:textId="77777777" w:rsidR="0043189A" w:rsidRPr="0043189A" w:rsidRDefault="0043189A">
      <w:pPr>
        <w:rPr>
          <w:b/>
        </w:rPr>
      </w:pPr>
      <w:r w:rsidRPr="0043189A">
        <w:rPr>
          <w:b/>
        </w:rPr>
        <w:t>5. Contextual Nuance in the Passage</w:t>
      </w:r>
    </w:p>
    <w:p w14:paraId="4E43577B" w14:textId="77777777" w:rsidR="0043189A" w:rsidRDefault="0043189A">
      <w:r>
        <w:t>In Exodus 27:3, God instructs Moses to make the utensils for the altar of burnt offering out of bronze. This bronze altar was situated in the outer court, where the fire burned continuously. The choice of bronze for the basins in this context is highly functional and symbolic. Bronze is durable, heat-resistant, and associated with judgment and sacrifice in the outer court (in contrast to the gold vessels used inside the Holy Place). The basins listed here are grouped with ash shovels, meat forks, and firepans—items representing the heavy-duty, daily manual labor of the sacrificial system. The presence of the basins alongside these tools reminds us that the work of atonement, while deeply spiritual, involved concrete, physical, and laborious actions.</w:t>
      </w:r>
    </w:p>
    <w:p w14:paraId="2D149FAE" w14:textId="77777777" w:rsidR="0043189A" w:rsidRDefault="0043189A"/>
    <w:p w14:paraId="7E81B990" w14:textId="77777777" w:rsidR="0043189A" w:rsidRPr="0043189A" w:rsidRDefault="0043189A">
      <w:pPr>
        <w:rPr>
          <w:b/>
        </w:rPr>
      </w:pPr>
      <w:r w:rsidRPr="0043189A">
        <w:rPr>
          <w:b/>
        </w:rPr>
        <w:t>6. Key Uses in Other Verses (NKJV)</w:t>
      </w:r>
    </w:p>
    <w:p w14:paraId="3E587D6C" w14:textId="77777777" w:rsidR="0043189A" w:rsidRDefault="0043189A">
      <w:r>
        <w:t>• Exodus 38:3: "He made all the utensils of the altar: the pans, the shovels, the basins, the fleshhooks, and the firepans; all its utensils he made of bronze."</w:t>
      </w:r>
    </w:p>
    <w:p w14:paraId="4ECC138A" w14:textId="77777777" w:rsidR="0043189A" w:rsidRDefault="0043189A">
      <w:r>
        <w:t>• Numbers 4:14: "They shall put on it all its utensils with which they minister there—the firepans, the forks, the shovels, the basins, and all the utensils of the altar..."</w:t>
      </w:r>
    </w:p>
    <w:p w14:paraId="444DD029" w14:textId="77777777" w:rsidR="0043189A" w:rsidRDefault="0043189A">
      <w:r>
        <w:t>• 2 Kings 25:15: "The firepans and the basins, the things which were of solid gold and solid silver, the captain of the guard took away."</w:t>
      </w:r>
    </w:p>
    <w:p w14:paraId="08629D57" w14:textId="77777777" w:rsidR="0043189A" w:rsidRDefault="0043189A">
      <w:r>
        <w:t>• Zechariah 9:15: "They shall drink and roar as if with wine; they shall be filled with blood like basins, like the corners of the altar."</w:t>
      </w:r>
    </w:p>
    <w:p w14:paraId="6BD71DA5" w14:textId="77777777" w:rsidR="0043189A" w:rsidRDefault="0043189A">
      <w:r>
        <w:t>• Zechariah 14:20: "In that day 'HOLINESS TO THE LORD' shall be engraved on the bells of the horses. The pots in the LORD’S house shall be like the bowls before the altar."</w:t>
      </w:r>
    </w:p>
    <w:p w14:paraId="2EB4EB28" w14:textId="77777777" w:rsidR="0043189A" w:rsidRDefault="0043189A"/>
    <w:p w14:paraId="4BE8D337" w14:textId="77777777" w:rsidR="0043189A" w:rsidRPr="0043189A" w:rsidRDefault="0043189A">
      <w:pPr>
        <w:rPr>
          <w:b/>
        </w:rPr>
      </w:pPr>
      <w:r w:rsidRPr="0043189A">
        <w:rPr>
          <w:b/>
        </w:rPr>
        <w:t>7. Other Relevant Insights</w:t>
      </w:r>
    </w:p>
    <w:p w14:paraId="2C7A6591" w14:textId="77777777" w:rsidR="0043189A" w:rsidRDefault="0043189A">
      <w:r>
        <w:t>In archaeological excavations of ancient Near Eastern cultic sites, metal basins resembling the biblical description have been discovered. Many of these bowls have rounded bottoms, meaning they could not be set down on a flat surface without spilling. If the tabernacle basins shared this design, it would mean the priest or assistant had to hold the basin continuously until the blood was dashed onto the altar. This physical detail underscores the urgency, reverence, and undivided attention required during the sacrificial ritual; the blood of the covenant was never to be casually set aside or ignored.</w:t>
      </w:r>
    </w:p>
    <w:p w14:paraId="38CC133C" w14:textId="77777777" w:rsidR="0043189A" w:rsidRDefault="0043189A"/>
    <w:p w14:paraId="1DA25783" w14:textId="77777777" w:rsidR="0043189A" w:rsidRPr="0043189A" w:rsidRDefault="0043189A">
      <w:pPr>
        <w:rPr>
          <w:b/>
        </w:rPr>
      </w:pPr>
      <w:r w:rsidRPr="0043189A">
        <w:rPr>
          <w:b/>
        </w:rPr>
        <w:t>8. References</w:t>
      </w:r>
    </w:p>
    <w:p w14:paraId="4CBE2F96" w14:textId="77777777" w:rsidR="0043189A" w:rsidRDefault="0043189A">
      <w:r>
        <w:t>• Brown, Driver, and Briggs. Hebrew and English Lexicon of the Old Testament.</w:t>
      </w:r>
    </w:p>
    <w:p w14:paraId="6F928360" w14:textId="77777777" w:rsidR="0043189A" w:rsidRDefault="0043189A">
      <w:r>
        <w:t>• Harris, R. Laird, Gleason L. Archer Jr., and Bruce K. Waltke. Theological Wordbook of the Old Testament.</w:t>
      </w:r>
    </w:p>
    <w:p w14:paraId="5D12CDEB" w14:textId="77777777" w:rsidR="0043189A" w:rsidRDefault="0043189A">
      <w:r>
        <w:t>• Koehler, Ludwig, and Walter Baumgartner. The Hebrew and Aramaic Lexicon of the Old Testament.</w:t>
      </w:r>
    </w:p>
    <w:p w14:paraId="08327404" w14:textId="77777777" w:rsidR="0043189A" w:rsidRDefault="0043189A">
      <w:r>
        <w:t>• Renn, Stephen D. Expository Dictionary of Bible Words.</w:t>
      </w:r>
    </w:p>
    <w:p w14:paraId="7631202B" w14:textId="12996398" w:rsidR="004C5552" w:rsidRDefault="0043189A">
      <w:r>
        <w:t>• Zodhiates, Spiros. The Complete Word Study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8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189A"/>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DD4C"/>
  <w15:chartTrackingRefBased/>
  <w15:docId w15:val="{7CFC9F4A-14F8-46AE-AD7A-213A28562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1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1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89A"/>
    <w:rPr>
      <w:rFonts w:eastAsiaTheme="majorEastAsia" w:cstheme="majorBidi"/>
      <w:color w:val="272727" w:themeColor="text1" w:themeTint="D8"/>
    </w:rPr>
  </w:style>
  <w:style w:type="paragraph" w:styleId="Title">
    <w:name w:val="Title"/>
    <w:basedOn w:val="Normal"/>
    <w:next w:val="Normal"/>
    <w:link w:val="TitleChar"/>
    <w:uiPriority w:val="10"/>
    <w:qFormat/>
    <w:rsid w:val="00431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89A"/>
    <w:pPr>
      <w:spacing w:before="160"/>
      <w:jc w:val="center"/>
    </w:pPr>
    <w:rPr>
      <w:i/>
      <w:iCs/>
      <w:color w:val="404040" w:themeColor="text1" w:themeTint="BF"/>
    </w:rPr>
  </w:style>
  <w:style w:type="character" w:customStyle="1" w:styleId="QuoteChar">
    <w:name w:val="Quote Char"/>
    <w:basedOn w:val="DefaultParagraphFont"/>
    <w:link w:val="Quote"/>
    <w:uiPriority w:val="29"/>
    <w:rsid w:val="0043189A"/>
    <w:rPr>
      <w:i/>
      <w:iCs/>
      <w:color w:val="404040" w:themeColor="text1" w:themeTint="BF"/>
    </w:rPr>
  </w:style>
  <w:style w:type="paragraph" w:styleId="ListParagraph">
    <w:name w:val="List Paragraph"/>
    <w:basedOn w:val="Normal"/>
    <w:uiPriority w:val="34"/>
    <w:qFormat/>
    <w:rsid w:val="0043189A"/>
    <w:pPr>
      <w:ind w:left="720"/>
      <w:contextualSpacing/>
    </w:pPr>
  </w:style>
  <w:style w:type="character" w:styleId="IntenseEmphasis">
    <w:name w:val="Intense Emphasis"/>
    <w:basedOn w:val="DefaultParagraphFont"/>
    <w:uiPriority w:val="21"/>
    <w:qFormat/>
    <w:rsid w:val="0043189A"/>
    <w:rPr>
      <w:i/>
      <w:iCs/>
      <w:color w:val="2E74B5" w:themeColor="accent1" w:themeShade="BF"/>
    </w:rPr>
  </w:style>
  <w:style w:type="paragraph" w:styleId="IntenseQuote">
    <w:name w:val="Intense Quote"/>
    <w:basedOn w:val="Normal"/>
    <w:next w:val="Normal"/>
    <w:link w:val="IntenseQuoteChar"/>
    <w:uiPriority w:val="30"/>
    <w:qFormat/>
    <w:rsid w:val="004318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189A"/>
    <w:rPr>
      <w:i/>
      <w:iCs/>
      <w:color w:val="2E74B5" w:themeColor="accent1" w:themeShade="BF"/>
    </w:rPr>
  </w:style>
  <w:style w:type="character" w:styleId="IntenseReference">
    <w:name w:val="Intense Reference"/>
    <w:basedOn w:val="DefaultParagraphFont"/>
    <w:uiPriority w:val="32"/>
    <w:qFormat/>
    <w:rsid w:val="004318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902</Words>
  <Characters>5148</Characters>
  <Application>Microsoft Office Word</Application>
  <DocSecurity>0</DocSecurity>
  <Lines>42</Lines>
  <Paragraphs>12</Paragraphs>
  <ScaleCrop>false</ScaleCrop>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