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0791" w14:textId="77777777" w:rsidR="00D319A5" w:rsidRPr="00D319A5" w:rsidRDefault="00D319A5">
      <w:pPr>
        <w:rPr>
          <w:b/>
        </w:rPr>
      </w:pPr>
      <w:r w:rsidRPr="00D319A5">
        <w:rPr>
          <w:b/>
        </w:rPr>
        <w:t>HOLLOW - ( nabub, Strong's H5014 )</w:t>
      </w:r>
    </w:p>
    <w:p w14:paraId="23F5BFDD" w14:textId="77777777" w:rsidR="00D319A5" w:rsidRDefault="00D319A5">
      <w:r w:rsidRPr="00D319A5">
        <w:rPr>
          <w:b/>
        </w:rPr>
        <w:t>Summary:</w:t>
      </w:r>
    </w:p>
    <w:p w14:paraId="7E5244E2" w14:textId="77777777" w:rsidR="00D319A5" w:rsidRDefault="00D319A5">
      <w:r>
        <w:t>The Hebrew word nabub refers to something that is hollow, empty, or scooped out. In Exodus 27:8, it describes the construction of the bronze altar of burnt offering, which was to be made of wooden boards but left hollow inside rather than solid. This design made the altar portable for Israel's wilderness journey while symbolizing a deeper theological truth: the structures of worship are designed to be filled with the presence, fire, and sacrifice provided by God.</w:t>
      </w:r>
    </w:p>
    <w:p w14:paraId="16C4AD53" w14:textId="77777777" w:rsidR="00D319A5" w:rsidRDefault="00D319A5"/>
    <w:p w14:paraId="57720914" w14:textId="77777777" w:rsidR="00D319A5" w:rsidRDefault="00D319A5">
      <w:r w:rsidRPr="00D319A5">
        <w:rPr>
          <w:b/>
        </w:rPr>
        <w:t>Full Study:</w:t>
      </w:r>
    </w:p>
    <w:p w14:paraId="5CF703CB" w14:textId="77777777" w:rsidR="00D319A5" w:rsidRDefault="00D319A5"/>
    <w:p w14:paraId="021BABCF" w14:textId="77777777" w:rsidR="00D319A5" w:rsidRPr="00D319A5" w:rsidRDefault="00D319A5">
      <w:pPr>
        <w:rPr>
          <w:b/>
        </w:rPr>
      </w:pPr>
      <w:r w:rsidRPr="00D319A5">
        <w:rPr>
          <w:b/>
        </w:rPr>
        <w:t>1. Word Picture / Background</w:t>
      </w:r>
    </w:p>
    <w:p w14:paraId="2BF3644F" w14:textId="77777777" w:rsidR="00D319A5" w:rsidRDefault="00D319A5">
      <w:r>
        <w:t>The root verb nabab carries the primary physical meaning of being hollow, empty, or tunneled out. Structurally, it evokes the image of a container or vessel that has outer boundaries but no inner core, leaving a void designed to be filled. Historically and culturally, ancient near eastern nomadic altars needed to be lightweight and transportable. A solid bronze or heavy stone altar of this size (five cubits long, five cubits wide, and three cubits high) would have been far too heavy to carry on the poles of the Levites during Israel's journey through the wilderness. By commanding the altar to be made of hollow wooden boards covered in bronze, God provided a highly functional, transportable design that looked massive and substantial but was light enough to be carried.</w:t>
      </w:r>
    </w:p>
    <w:p w14:paraId="68DCB9B2" w14:textId="77777777" w:rsidR="00D319A5" w:rsidRDefault="00D319A5"/>
    <w:p w14:paraId="29EB56E3" w14:textId="77777777" w:rsidR="00D319A5" w:rsidRPr="00D319A5" w:rsidRDefault="00D319A5">
      <w:pPr>
        <w:rPr>
          <w:b/>
        </w:rPr>
      </w:pPr>
      <w:r w:rsidRPr="00D319A5">
        <w:rPr>
          <w:b/>
        </w:rPr>
        <w:t>2. Meaning / Lexical Definition</w:t>
      </w:r>
    </w:p>
    <w:p w14:paraId="3FA5CD0C" w14:textId="77777777" w:rsidR="00D319A5" w:rsidRDefault="00D319A5">
      <w:r>
        <w:t>The term nabub is the passive participle of the root verb nabab, which means to hollow out or to pierce. Lexically, it refers to:</w:t>
      </w:r>
    </w:p>
    <w:p w14:paraId="4D05E3D1" w14:textId="77777777" w:rsidR="00D319A5" w:rsidRDefault="00D319A5">
      <w:r>
        <w:t>• Being hollowed out physically, as in a hollow pillar or a hollow board structure.</w:t>
      </w:r>
    </w:p>
    <w:p w14:paraId="3AF2E6AA" w14:textId="77777777" w:rsidR="00D319A5" w:rsidRDefault="00D319A5">
      <w:r>
        <w:t>• Being empty-minded, hollow-headed, or foolish (metaphorically), as used of a witless person who lacks substance or wisdom.</w:t>
      </w:r>
    </w:p>
    <w:p w14:paraId="571F6FD0" w14:textId="77777777" w:rsidR="00D319A5" w:rsidRDefault="00D319A5">
      <w:r>
        <w:t>In Exodus 27:8, the word functions as an adjective describing the physical state of the altar of burnt offering. It was to be constructed of acacia wood planks but left entirely hollow inside.</w:t>
      </w:r>
    </w:p>
    <w:p w14:paraId="7203075F" w14:textId="77777777" w:rsidR="00D319A5" w:rsidRDefault="00D319A5"/>
    <w:p w14:paraId="74533955" w14:textId="77777777" w:rsidR="00D319A5" w:rsidRPr="00D319A5" w:rsidRDefault="00D319A5">
      <w:pPr>
        <w:rPr>
          <w:b/>
        </w:rPr>
      </w:pPr>
      <w:r w:rsidRPr="00D319A5">
        <w:rPr>
          <w:b/>
        </w:rPr>
        <w:t>3. Usage and Word Pictures</w:t>
      </w:r>
    </w:p>
    <w:p w14:paraId="13786A24" w14:textId="77777777" w:rsidR="00D319A5" w:rsidRDefault="00D319A5">
      <w:r>
        <w:t>Beyond its literal architectural use in the tabernacle instructions, nabub is used metaphorically in the Old Testament to depict empty-headedness or lack of moral and intellectual substance. In Job 11:12, the word describes an empty-headed or witless man who is as unlikely to become wise as a wild donkey’s colt is to be born human. This word picture contrasts the solid, weighty character of true wisdom with the hollow, insubstantial nature of foolishness. In the physical realm, a hollow structure like the altar is functional and prepared to receive something of value; in the intellectual and spiritual realm, a hollow person is empty of wisdom and unstable.</w:t>
      </w:r>
    </w:p>
    <w:p w14:paraId="663489B4" w14:textId="77777777" w:rsidR="00D319A5" w:rsidRDefault="00D319A5"/>
    <w:p w14:paraId="2548F2CF" w14:textId="77777777" w:rsidR="00D319A5" w:rsidRPr="00D319A5" w:rsidRDefault="00D319A5">
      <w:pPr>
        <w:rPr>
          <w:b/>
        </w:rPr>
      </w:pPr>
      <w:r w:rsidRPr="00D319A5">
        <w:rPr>
          <w:b/>
        </w:rPr>
        <w:t>4. Theological Implications</w:t>
      </w:r>
    </w:p>
    <w:p w14:paraId="29567558" w14:textId="77777777" w:rsidR="00D319A5" w:rsidRDefault="00D319A5">
      <w:r>
        <w:t>The hollow design of the altar carries rich theological significance:</w:t>
      </w:r>
    </w:p>
    <w:p w14:paraId="0425613D" w14:textId="77777777" w:rsidR="00D319A5" w:rsidRDefault="00D319A5">
      <w:r>
        <w:t>• The Divine Filling: The altar was not meant to remain empty. It was designed to be filled with earth or stones when Israel camped, or simply to contain the ashes and the burning fire that God Himself ignited. This reflects a broader biblical pattern where God takes hollow, empty vessels and fills them with His glory, fire, and presence.</w:t>
      </w:r>
    </w:p>
    <w:p w14:paraId="1720C9E7" w14:textId="77777777" w:rsidR="00D319A5" w:rsidRDefault="00D319A5">
      <w:r>
        <w:t>• Grace in Portability: God accommodated the weaknesses and limitations of His wandering people. The hollow design allowed the altar to be portable, signifying that God's path of atonement and worship travels with His people wherever they go.</w:t>
      </w:r>
    </w:p>
    <w:p w14:paraId="2369185F" w14:textId="77777777" w:rsidR="00D319A5" w:rsidRDefault="00D319A5">
      <w:r>
        <w:t>• Inward Reality vs. Outward Appearance: The altar appeared to be a solid block of bronze, but it was actually a hollow wooden frame overlaid with bronze. This reminds the worshiper that God looks past the outward, impressive appearance of religious structures to the inward reality.</w:t>
      </w:r>
    </w:p>
    <w:p w14:paraId="41DC2D9F" w14:textId="77777777" w:rsidR="00D319A5" w:rsidRDefault="00D319A5"/>
    <w:p w14:paraId="132E9D78" w14:textId="77777777" w:rsidR="00D319A5" w:rsidRPr="00D319A5" w:rsidRDefault="00D319A5">
      <w:pPr>
        <w:rPr>
          <w:b/>
        </w:rPr>
      </w:pPr>
      <w:r w:rsidRPr="00D319A5">
        <w:rPr>
          <w:b/>
        </w:rPr>
        <w:t>5. Contextual Nuance in the Passage</w:t>
      </w:r>
    </w:p>
    <w:p w14:paraId="5D0DE142" w14:textId="77777777" w:rsidR="00D319A5" w:rsidRDefault="00D319A5">
      <w:r>
        <w:t>In Exodus 27:8, the instruction "Hollow with boards you shall make it" is immediately followed by "as it was shown you on the mountain." The hollow nature of the altar was not a human adaptation for convenience; it was part of the divine pattern shown to Moses on Mount Sinai. The nuance here emphasizes strict obedience to the heavenly blueprint. The altar had to be hollow so that the grate, which sat halfway down inside the altar, could function properly to allow ashes to fall through while supporting the burning sacrifice. The hollow space was functional for the sacrificial mechanics ordained by God.</w:t>
      </w:r>
    </w:p>
    <w:p w14:paraId="037C1333" w14:textId="77777777" w:rsidR="00D319A5" w:rsidRDefault="00D319A5"/>
    <w:p w14:paraId="7C543F9D" w14:textId="77777777" w:rsidR="00D319A5" w:rsidRPr="00D319A5" w:rsidRDefault="00D319A5">
      <w:pPr>
        <w:rPr>
          <w:b/>
        </w:rPr>
      </w:pPr>
      <w:r w:rsidRPr="00D319A5">
        <w:rPr>
          <w:b/>
        </w:rPr>
        <w:t>6. Key Uses in Other Verses (NKJV)</w:t>
      </w:r>
    </w:p>
    <w:p w14:paraId="3649A9AF" w14:textId="77777777" w:rsidR="00D319A5" w:rsidRDefault="00D319A5">
      <w:r>
        <w:t>• Exodus 38:7 - "He made the altar hollow with boards."</w:t>
      </w:r>
    </w:p>
    <w:p w14:paraId="605B704A" w14:textId="77777777" w:rsidR="00D319A5" w:rsidRDefault="00D319A5">
      <w:r>
        <w:t>• Job 11:12 - "For an empty-headed man will be wise, when a wild donkey’s colt is born a man."</w:t>
      </w:r>
    </w:p>
    <w:p w14:paraId="3CA1CC1A" w14:textId="77777777" w:rsidR="00D319A5" w:rsidRDefault="00D319A5">
      <w:r>
        <w:t>• Jeremiah 52:21 - "As for the pillars, the height of one pillar was eighteen cubits... and its thickness was four fingers; it was hollow."</w:t>
      </w:r>
    </w:p>
    <w:p w14:paraId="2BD97779" w14:textId="77777777" w:rsidR="00D319A5" w:rsidRDefault="00D319A5"/>
    <w:p w14:paraId="510BD002" w14:textId="77777777" w:rsidR="00D319A5" w:rsidRPr="00D319A5" w:rsidRDefault="00D319A5">
      <w:pPr>
        <w:rPr>
          <w:b/>
        </w:rPr>
      </w:pPr>
      <w:r w:rsidRPr="00D319A5">
        <w:rPr>
          <w:b/>
        </w:rPr>
        <w:t>7. Other Relevant Insights</w:t>
      </w:r>
    </w:p>
    <w:p w14:paraId="3113710D" w14:textId="77777777" w:rsidR="00D319A5" w:rsidRDefault="00D319A5">
      <w:r>
        <w:t>The bronze altar is also referred to as the "Altar of Burnt Offering" or the "Shittim (Acacia) Wood Altar." The use of acacia wood is significant because it is a dense, durable wood resistant to decay, symbolizing endurance. Overlaying this wood with bronze allowed it to withstand the intense heat of the sacrificial fires. However, without the hollow center, the wood would have combusted more easily due to trapped heat, and the weight would have been insurmountable. The physical physics of the hollow design protected the wooden structure while serving the spiritual needs of the community.</w:t>
      </w:r>
    </w:p>
    <w:p w14:paraId="4F1FED2A" w14:textId="77777777" w:rsidR="00D319A5" w:rsidRDefault="00D319A5"/>
    <w:p w14:paraId="4BA46CBD" w14:textId="77777777" w:rsidR="00D319A5" w:rsidRPr="00D319A5" w:rsidRDefault="00D319A5">
      <w:pPr>
        <w:rPr>
          <w:b/>
        </w:rPr>
      </w:pPr>
      <w:r w:rsidRPr="00D319A5">
        <w:rPr>
          <w:b/>
        </w:rPr>
        <w:t>8. References</w:t>
      </w:r>
    </w:p>
    <w:p w14:paraId="72E1B79E" w14:textId="77777777" w:rsidR="00D319A5" w:rsidRDefault="00D319A5">
      <w:r>
        <w:t>• Brown-Driver-Briggs Hebrew and English Lexicon</w:t>
      </w:r>
    </w:p>
    <w:p w14:paraId="451D1FDF" w14:textId="77777777" w:rsidR="00D319A5" w:rsidRDefault="00D319A5">
      <w:r>
        <w:t>• Theological Wordbook of the Old Testament</w:t>
      </w:r>
    </w:p>
    <w:p w14:paraId="3CF731D3" w14:textId="77777777" w:rsidR="00D319A5" w:rsidRDefault="00D319A5">
      <w:r>
        <w:t>• Hebrew Aramaic Lexicon of the Old Testament</w:t>
      </w:r>
    </w:p>
    <w:p w14:paraId="01D81340" w14:textId="77777777" w:rsidR="00D319A5" w:rsidRDefault="00D319A5">
      <w:r>
        <w:t>• Gesenius' Hebrew-Chaldee Lexicon</w:t>
      </w:r>
    </w:p>
    <w:p w14:paraId="79882188" w14:textId="77777777" w:rsidR="00D319A5" w:rsidRDefault="00D319A5">
      <w:r>
        <w:t>• Vine's Complete Expository Dictionary of Old and New Testament Words</w:t>
      </w:r>
    </w:p>
    <w:p w14:paraId="0988A9E7" w14:textId="767B5DB5" w:rsidR="004C5552" w:rsidRDefault="00D319A5">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19A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533A"/>
  <w15:chartTrackingRefBased/>
  <w15:docId w15:val="{D07E836C-7618-4256-A5BA-07CDB65B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1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1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A5"/>
    <w:rPr>
      <w:rFonts w:eastAsiaTheme="majorEastAsia" w:cstheme="majorBidi"/>
      <w:color w:val="272727" w:themeColor="text1" w:themeTint="D8"/>
    </w:rPr>
  </w:style>
  <w:style w:type="paragraph" w:styleId="Title">
    <w:name w:val="Title"/>
    <w:basedOn w:val="Normal"/>
    <w:next w:val="Normal"/>
    <w:link w:val="TitleChar"/>
    <w:uiPriority w:val="10"/>
    <w:qFormat/>
    <w:rsid w:val="00D31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9A5"/>
    <w:pPr>
      <w:spacing w:before="160"/>
      <w:jc w:val="center"/>
    </w:pPr>
    <w:rPr>
      <w:i/>
      <w:iCs/>
      <w:color w:val="404040" w:themeColor="text1" w:themeTint="BF"/>
    </w:rPr>
  </w:style>
  <w:style w:type="character" w:customStyle="1" w:styleId="QuoteChar">
    <w:name w:val="Quote Char"/>
    <w:basedOn w:val="DefaultParagraphFont"/>
    <w:link w:val="Quote"/>
    <w:uiPriority w:val="29"/>
    <w:rsid w:val="00D319A5"/>
    <w:rPr>
      <w:i/>
      <w:iCs/>
      <w:color w:val="404040" w:themeColor="text1" w:themeTint="BF"/>
    </w:rPr>
  </w:style>
  <w:style w:type="paragraph" w:styleId="ListParagraph">
    <w:name w:val="List Paragraph"/>
    <w:basedOn w:val="Normal"/>
    <w:uiPriority w:val="34"/>
    <w:qFormat/>
    <w:rsid w:val="00D319A5"/>
    <w:pPr>
      <w:ind w:left="720"/>
      <w:contextualSpacing/>
    </w:pPr>
  </w:style>
  <w:style w:type="character" w:styleId="IntenseEmphasis">
    <w:name w:val="Intense Emphasis"/>
    <w:basedOn w:val="DefaultParagraphFont"/>
    <w:uiPriority w:val="21"/>
    <w:qFormat/>
    <w:rsid w:val="00D319A5"/>
    <w:rPr>
      <w:i/>
      <w:iCs/>
      <w:color w:val="2E74B5" w:themeColor="accent1" w:themeShade="BF"/>
    </w:rPr>
  </w:style>
  <w:style w:type="paragraph" w:styleId="IntenseQuote">
    <w:name w:val="Intense Quote"/>
    <w:basedOn w:val="Normal"/>
    <w:next w:val="Normal"/>
    <w:link w:val="IntenseQuoteChar"/>
    <w:uiPriority w:val="30"/>
    <w:qFormat/>
    <w:rsid w:val="00D319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19A5"/>
    <w:rPr>
      <w:i/>
      <w:iCs/>
      <w:color w:val="2E74B5" w:themeColor="accent1" w:themeShade="BF"/>
    </w:rPr>
  </w:style>
  <w:style w:type="character" w:styleId="IntenseReference">
    <w:name w:val="Intense Reference"/>
    <w:basedOn w:val="DefaultParagraphFont"/>
    <w:uiPriority w:val="32"/>
    <w:qFormat/>
    <w:rsid w:val="00D319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