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5A95B" w14:textId="77777777" w:rsidR="00724005" w:rsidRPr="00724005" w:rsidRDefault="00724005">
      <w:pPr>
        <w:rPr>
          <w:b/>
        </w:rPr>
      </w:pPr>
      <w:r w:rsidRPr="00724005">
        <w:rPr>
          <w:b/>
        </w:rPr>
        <w:t>COURT - ( chāṣēr , Strong's H2691 )</w:t>
      </w:r>
    </w:p>
    <w:p w14:paraId="63F58F35" w14:textId="77777777" w:rsidR="00724005" w:rsidRDefault="00724005">
      <w:r w:rsidRPr="00724005">
        <w:rPr>
          <w:b/>
        </w:rPr>
        <w:t>Summary:</w:t>
      </w:r>
    </w:p>
    <w:p w14:paraId="2200F8DE" w14:textId="77777777" w:rsidR="00724005" w:rsidRDefault="00724005">
      <w:r>
        <w:t>The Hebrew word chāṣēr refers to an enclosed area, yard, or court, typically marked off by curtains, walls, or buildings. In the context of the Tabernacle and later the Temple, it designates the outer sacred area surrounding the holy tent, serving as a transitional space between the common world and the manifest presence of God. It is a place of preparation, sacrifice, and access for the worshiper.</w:t>
      </w:r>
    </w:p>
    <w:p w14:paraId="43AE07EA" w14:textId="77777777" w:rsidR="00724005" w:rsidRDefault="00724005"/>
    <w:p w14:paraId="6EC5771F" w14:textId="77777777" w:rsidR="00724005" w:rsidRDefault="00724005">
      <w:r w:rsidRPr="00724005">
        <w:rPr>
          <w:b/>
        </w:rPr>
        <w:t>Full Study:</w:t>
      </w:r>
    </w:p>
    <w:p w14:paraId="1A0D856E" w14:textId="77777777" w:rsidR="00724005" w:rsidRDefault="00724005"/>
    <w:p w14:paraId="73D0C23F" w14:textId="77777777" w:rsidR="00724005" w:rsidRPr="00724005" w:rsidRDefault="00724005">
      <w:pPr>
        <w:rPr>
          <w:b/>
        </w:rPr>
      </w:pPr>
      <w:r w:rsidRPr="00724005">
        <w:rPr>
          <w:b/>
        </w:rPr>
        <w:t>1. Word Picture / Background</w:t>
      </w:r>
    </w:p>
    <w:p w14:paraId="051AE8A1" w14:textId="77777777" w:rsidR="00724005" w:rsidRDefault="00724005">
      <w:r>
        <w:t>• The word chāṣēr is related to a root meaning to surround, enclose, or gather together. It paints a picture of protection, separation, and defined boundaries.</w:t>
      </w:r>
    </w:p>
    <w:p w14:paraId="61F51248" w14:textId="77777777" w:rsidR="00724005" w:rsidRDefault="00724005">
      <w:r>
        <w:t>• In nomadic and ancient Near Eastern contexts, a chāṣēr was an enclosed settlement, encampment, or village, often surrounded by a simple stone wall, hedge, or fence to keep livestock in and intruders out. It represented a secured boundary that defined ownership, safety, and community.</w:t>
      </w:r>
    </w:p>
    <w:p w14:paraId="796A1365" w14:textId="77777777" w:rsidR="00724005" w:rsidRDefault="00724005">
      <w:r>
        <w:t>• When applied to the Tabernacle, this familiar nomadic imagery is elevated to define a sacred boundary separating the holy domain of Yahweh from the surrounding wilderness.</w:t>
      </w:r>
    </w:p>
    <w:p w14:paraId="7427D7E6" w14:textId="77777777" w:rsidR="00724005" w:rsidRDefault="00724005"/>
    <w:p w14:paraId="0C3A780E" w14:textId="77777777" w:rsidR="00724005" w:rsidRPr="00724005" w:rsidRDefault="00724005">
      <w:pPr>
        <w:rPr>
          <w:b/>
        </w:rPr>
      </w:pPr>
      <w:r w:rsidRPr="00724005">
        <w:rPr>
          <w:b/>
        </w:rPr>
        <w:t>2. Meaning / Lexical Definition</w:t>
      </w:r>
    </w:p>
    <w:p w14:paraId="703643DE" w14:textId="77777777" w:rsidR="00724005" w:rsidRDefault="00724005">
      <w:r>
        <w:t>• The primary definition is an open space surrounded by a fence, wall, or buildings; a courtyard, enclosure, or settlement.</w:t>
      </w:r>
    </w:p>
    <w:p w14:paraId="4568346F" w14:textId="77777777" w:rsidR="00724005" w:rsidRDefault="00724005">
      <w:r>
        <w:t>• In the cultic context of Israel, it specifically denotes the rectangular outer court of the Tabernacle (measuring 100 cubits by 50 cubits) or the inner and outer courts of Solomon's and Ezekiel's temples.</w:t>
      </w:r>
    </w:p>
    <w:p w14:paraId="4E581929" w14:textId="77777777" w:rsidR="00724005" w:rsidRDefault="00724005">
      <w:r>
        <w:t>• Outside of the sanctuary context, it refers to permanent, un-walled villages or settlements associated with larger fortified cities, often translated "villages" in the historical books.</w:t>
      </w:r>
    </w:p>
    <w:p w14:paraId="7AB99E8E" w14:textId="77777777" w:rsidR="00724005" w:rsidRDefault="00724005"/>
    <w:p w14:paraId="55078AA4" w14:textId="77777777" w:rsidR="00724005" w:rsidRPr="00724005" w:rsidRDefault="00724005">
      <w:pPr>
        <w:rPr>
          <w:b/>
        </w:rPr>
      </w:pPr>
      <w:r w:rsidRPr="00724005">
        <w:rPr>
          <w:b/>
        </w:rPr>
        <w:t>3. Usage and Word Pictures</w:t>
      </w:r>
    </w:p>
    <w:p w14:paraId="55EF43E2" w14:textId="77777777" w:rsidR="00724005" w:rsidRDefault="00724005">
      <w:r>
        <w:t>• The court acts as a physical boundary. The Tabernacle court was enclosed by fine woven linen hangings, supported by pillars of bronze with silver hooks and bands. This created a highly visible line of demarcation in the desert.</w:t>
      </w:r>
    </w:p>
    <w:p w14:paraId="32BF50FB" w14:textId="77777777" w:rsidR="00724005" w:rsidRDefault="00724005">
      <w:r>
        <w:t>• It serves as a visual and physical filter. While any clean Israelite could enter the court to bring sacrifices, only the priests could enter the Tabernacle tent itself.</w:t>
      </w:r>
    </w:p>
    <w:p w14:paraId="30CCDCFB" w14:textId="77777777" w:rsidR="00724005" w:rsidRDefault="00724005">
      <w:r>
        <w:t>• In the Psalms, the "courts" of the Lord become a beautiful metonymy for the presence of God Himself, representing the place of safety, joy, and spiritual flourishing. To dwell in His courts is to be near His heart.</w:t>
      </w:r>
    </w:p>
    <w:p w14:paraId="299479EB" w14:textId="77777777" w:rsidR="00724005" w:rsidRDefault="00724005"/>
    <w:p w14:paraId="26978733" w14:textId="77777777" w:rsidR="00724005" w:rsidRPr="00724005" w:rsidRDefault="00724005">
      <w:pPr>
        <w:rPr>
          <w:b/>
        </w:rPr>
      </w:pPr>
      <w:r w:rsidRPr="00724005">
        <w:rPr>
          <w:b/>
        </w:rPr>
        <w:t>4. Theological Implications</w:t>
      </w:r>
    </w:p>
    <w:p w14:paraId="1147A067" w14:textId="77777777" w:rsidR="00724005" w:rsidRDefault="00724005">
      <w:r>
        <w:t>• Holiness and Graduated Sacred Space: The Tabernacle layout demonstrates zones of increasing holiness, from the Outer Court, to the Holy Place, and finally the Most Holy Place. The chāṣēr is the outer perimeter of this sacred hierarchy. It teaches that approaching a holy God requires order, boundaries, and mediation.</w:t>
      </w:r>
    </w:p>
    <w:p w14:paraId="1821444C" w14:textId="77777777" w:rsidR="00724005" w:rsidRDefault="00724005">
      <w:r>
        <w:t>• Access and Sacrifice: The court contained the Bronze Altar and the Bronze Laver. This theological arrangement shows that one cannot approach the presence of God without first passing by the place of blood atonement (the altar) and spiritual cleansing (the laver).</w:t>
      </w:r>
    </w:p>
    <w:p w14:paraId="703BBF1E" w14:textId="77777777" w:rsidR="00724005" w:rsidRDefault="00724005">
      <w:r>
        <w:t>• Anticipation of Broader Access: While the Old Testament chāṣēr restricted access to the inner sanctuary, the New Testament reveals that through the rent veil of Christ, believers have direct access into the Holiest of All, moving past the outer court into intimate, face-to-face fellowship with God.</w:t>
      </w:r>
    </w:p>
    <w:p w14:paraId="43E18066" w14:textId="77777777" w:rsidR="00724005" w:rsidRDefault="00724005"/>
    <w:p w14:paraId="688B222A" w14:textId="77777777" w:rsidR="00724005" w:rsidRPr="00724005" w:rsidRDefault="00724005">
      <w:pPr>
        <w:rPr>
          <w:b/>
        </w:rPr>
      </w:pPr>
      <w:r w:rsidRPr="00724005">
        <w:rPr>
          <w:b/>
        </w:rPr>
        <w:t>5. Contextual Nuance in the Passage</w:t>
      </w:r>
    </w:p>
    <w:p w14:paraId="3D77F087" w14:textId="77777777" w:rsidR="00724005" w:rsidRDefault="00724005">
      <w:r>
        <w:t>• In Exodus 27:9, the instructions for the chāṣēr focus on its boundaries—specifically the south side hangings of fine woven linen.</w:t>
      </w:r>
    </w:p>
    <w:p w14:paraId="2D5F5720" w14:textId="77777777" w:rsidR="00724005" w:rsidRDefault="00724005">
      <w:r>
        <w:t>• The fine linen hangings of the court were white, reflecting purity and righteousness, standing in stark contrast to the dusty wilderness outside. This separation was not designed to completely hide God from the people, but to define a holy space where God could dwell among His people without His holiness consuming them.</w:t>
      </w:r>
    </w:p>
    <w:p w14:paraId="58EFBE52" w14:textId="77777777" w:rsidR="00724005" w:rsidRDefault="00724005">
      <w:r>
        <w:t>• The court's dimensions and materials (bronze pillars and bases, silver hooks) symbolize strength and stability in the midst of a harsh wilderness.</w:t>
      </w:r>
    </w:p>
    <w:p w14:paraId="488422EA" w14:textId="77777777" w:rsidR="00724005" w:rsidRDefault="00724005"/>
    <w:p w14:paraId="70CE740C" w14:textId="77777777" w:rsidR="00724005" w:rsidRPr="00724005" w:rsidRDefault="00724005">
      <w:pPr>
        <w:rPr>
          <w:b/>
        </w:rPr>
      </w:pPr>
      <w:r w:rsidRPr="00724005">
        <w:rPr>
          <w:b/>
        </w:rPr>
        <w:t>6. Key Uses in Other Verses (NKJV)</w:t>
      </w:r>
    </w:p>
    <w:p w14:paraId="2834BC57" w14:textId="77777777" w:rsidR="00724005" w:rsidRDefault="00724005">
      <w:r>
        <w:t>• Leviticus 6:16 - "It shall be eaten as unleavened bread in a holy place; in the court of the tabernacle of meeting they shall eat it."</w:t>
      </w:r>
    </w:p>
    <w:p w14:paraId="435BEF3E" w14:textId="77777777" w:rsidR="00724005" w:rsidRDefault="00724005">
      <w:r>
        <w:t>• Psalm 84:2 - "My soul longs, yes, even faints for the courts of the Lord; my heart and my flesh cry out for the living God."</w:t>
      </w:r>
    </w:p>
    <w:p w14:paraId="4C6D9B7F" w14:textId="77777777" w:rsidR="00724005" w:rsidRDefault="00724005">
      <w:r>
        <w:t>• Psalm 92:13 - "Those who are planted in the house of the Lord shall flourish in the courts of our God."</w:t>
      </w:r>
    </w:p>
    <w:p w14:paraId="32FFC411" w14:textId="77777777" w:rsidR="00724005" w:rsidRDefault="00724005">
      <w:r>
        <w:t>• Psalm 100:4 - "Enter into His gates with thanksgiving, and into His courts with praise."</w:t>
      </w:r>
    </w:p>
    <w:p w14:paraId="50B09B42" w14:textId="77777777" w:rsidR="00724005" w:rsidRDefault="00724005"/>
    <w:p w14:paraId="34AF5E6F" w14:textId="77777777" w:rsidR="00724005" w:rsidRPr="00724005" w:rsidRDefault="00724005">
      <w:pPr>
        <w:rPr>
          <w:b/>
        </w:rPr>
      </w:pPr>
      <w:r w:rsidRPr="00724005">
        <w:rPr>
          <w:b/>
        </w:rPr>
        <w:t>7. Other Relevant Insights</w:t>
      </w:r>
    </w:p>
    <w:p w14:paraId="19DF6EA6" w14:textId="77777777" w:rsidR="00724005" w:rsidRDefault="00724005">
      <w:r>
        <w:t>• The Septuagint (LXX) translates chāṣēr in Exodus 27:9 as aulē, which denotes an open courtyard, farmyard, or fold. This Greek term is used in the New Testament to describe the courtyard of the high priest's palace where Peter denied Jesus (Matthew 26:69) and the "fold" of the sheep in John 10:1.</w:t>
      </w:r>
    </w:p>
    <w:p w14:paraId="4147CDDC" w14:textId="77777777" w:rsidR="00724005" w:rsidRDefault="00724005">
      <w:r>
        <w:t>• The transition from chāṣēr as a simple nomadic enclosure to a sacred architectural boundary illustrates how God sanctifies everyday cultural concepts to communicate deep spiritual truths.</w:t>
      </w:r>
    </w:p>
    <w:p w14:paraId="7CF2DF00" w14:textId="77777777" w:rsidR="00724005" w:rsidRDefault="00724005"/>
    <w:p w14:paraId="29271C5C" w14:textId="77777777" w:rsidR="00724005" w:rsidRPr="00724005" w:rsidRDefault="00724005">
      <w:pPr>
        <w:rPr>
          <w:b/>
        </w:rPr>
      </w:pPr>
      <w:r w:rsidRPr="00724005">
        <w:rPr>
          <w:b/>
        </w:rPr>
        <w:t>8. References</w:t>
      </w:r>
    </w:p>
    <w:p w14:paraId="7A62BA00" w14:textId="77777777" w:rsidR="00724005" w:rsidRDefault="00724005">
      <w:r>
        <w:t>• Brown, Driver, and Briggs. Hebrew and English Lexicon of the Old Testament.</w:t>
      </w:r>
    </w:p>
    <w:p w14:paraId="1E52FEAD" w14:textId="77777777" w:rsidR="00724005" w:rsidRDefault="00724005">
      <w:r>
        <w:t>• Harris, R. Laird, Gleason L. Archer Jr., and Bruce K. Waltke. Theological Wordbook of the Old Testament.</w:t>
      </w:r>
    </w:p>
    <w:p w14:paraId="3FD7E8BC" w14:textId="77777777" w:rsidR="00724005" w:rsidRDefault="00724005">
      <w:r>
        <w:t>• Kittel, Gerhard, and Gerhard Friedrich, eds. Theological Dictionary of the New Testament.</w:t>
      </w:r>
    </w:p>
    <w:p w14:paraId="2EFDC2A3" w14:textId="77777777" w:rsidR="00724005" w:rsidRDefault="00724005">
      <w:r>
        <w:t>• Koehler, Ludwig, and Walter Baumgartner. The Hebrew and Aramaic Lexicon of the Old Testament.</w:t>
      </w:r>
    </w:p>
    <w:p w14:paraId="37B5737E" w14:textId="5820BC2F" w:rsidR="004C5552" w:rsidRDefault="00724005">
      <w:r>
        <w:t>• Renn, Stephen D.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00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24005"/>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DD2A"/>
  <w15:chartTrackingRefBased/>
  <w15:docId w15:val="{D2BB11C5-0D75-4369-B35E-8841B4A5A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24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24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005"/>
    <w:rPr>
      <w:rFonts w:eastAsiaTheme="majorEastAsia" w:cstheme="majorBidi"/>
      <w:color w:val="272727" w:themeColor="text1" w:themeTint="D8"/>
    </w:rPr>
  </w:style>
  <w:style w:type="paragraph" w:styleId="Title">
    <w:name w:val="Title"/>
    <w:basedOn w:val="Normal"/>
    <w:next w:val="Normal"/>
    <w:link w:val="TitleChar"/>
    <w:uiPriority w:val="10"/>
    <w:qFormat/>
    <w:rsid w:val="00724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005"/>
    <w:pPr>
      <w:spacing w:before="160"/>
      <w:jc w:val="center"/>
    </w:pPr>
    <w:rPr>
      <w:i/>
      <w:iCs/>
      <w:color w:val="404040" w:themeColor="text1" w:themeTint="BF"/>
    </w:rPr>
  </w:style>
  <w:style w:type="character" w:customStyle="1" w:styleId="QuoteChar">
    <w:name w:val="Quote Char"/>
    <w:basedOn w:val="DefaultParagraphFont"/>
    <w:link w:val="Quote"/>
    <w:uiPriority w:val="29"/>
    <w:rsid w:val="00724005"/>
    <w:rPr>
      <w:i/>
      <w:iCs/>
      <w:color w:val="404040" w:themeColor="text1" w:themeTint="BF"/>
    </w:rPr>
  </w:style>
  <w:style w:type="paragraph" w:styleId="ListParagraph">
    <w:name w:val="List Paragraph"/>
    <w:basedOn w:val="Normal"/>
    <w:uiPriority w:val="34"/>
    <w:qFormat/>
    <w:rsid w:val="00724005"/>
    <w:pPr>
      <w:ind w:left="720"/>
      <w:contextualSpacing/>
    </w:pPr>
  </w:style>
  <w:style w:type="character" w:styleId="IntenseEmphasis">
    <w:name w:val="Intense Emphasis"/>
    <w:basedOn w:val="DefaultParagraphFont"/>
    <w:uiPriority w:val="21"/>
    <w:qFormat/>
    <w:rsid w:val="00724005"/>
    <w:rPr>
      <w:i/>
      <w:iCs/>
      <w:color w:val="2E74B5" w:themeColor="accent1" w:themeShade="BF"/>
    </w:rPr>
  </w:style>
  <w:style w:type="paragraph" w:styleId="IntenseQuote">
    <w:name w:val="Intense Quote"/>
    <w:basedOn w:val="Normal"/>
    <w:next w:val="Normal"/>
    <w:link w:val="IntenseQuoteChar"/>
    <w:uiPriority w:val="30"/>
    <w:qFormat/>
    <w:rsid w:val="007240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24005"/>
    <w:rPr>
      <w:i/>
      <w:iCs/>
      <w:color w:val="2E74B5" w:themeColor="accent1" w:themeShade="BF"/>
    </w:rPr>
  </w:style>
  <w:style w:type="character" w:styleId="IntenseReference">
    <w:name w:val="Intense Reference"/>
    <w:basedOn w:val="DefaultParagraphFont"/>
    <w:uiPriority w:val="32"/>
    <w:qFormat/>
    <w:rsid w:val="007240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795</Words>
  <Characters>4532</Characters>
  <Application>Microsoft Office Word</Application>
  <DocSecurity>0</DocSecurity>
  <Lines>37</Lines>
  <Paragraphs>10</Paragraphs>
  <ScaleCrop>false</ScaleCrop>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2026-08-14T10:48:00Z</dcterms:modified>
</cp:coreProperties>
</file>