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54FC" w14:textId="77777777" w:rsidR="001B5B5F" w:rsidRPr="001B5B5F" w:rsidRDefault="001B5B5F">
      <w:pPr>
        <w:rPr>
          <w:b/>
        </w:rPr>
      </w:pPr>
      <w:r w:rsidRPr="001B5B5F">
        <w:rPr>
          <w:b/>
        </w:rPr>
        <w:t>MEMORIAL - ( zikkaron , Strong's H2146 )</w:t>
      </w:r>
    </w:p>
    <w:p w14:paraId="44AB7D27" w14:textId="77777777" w:rsidR="001B5B5F" w:rsidRDefault="001B5B5F">
      <w:r w:rsidRPr="001B5B5F">
        <w:rPr>
          <w:b/>
        </w:rPr>
        <w:t>Summary:</w:t>
      </w:r>
    </w:p>
    <w:p w14:paraId="076BC2C0" w14:textId="77777777" w:rsidR="001B5B5F" w:rsidRDefault="001B5B5F">
      <w:r>
        <w:t>The Hebrew noun zikkaron refers to a memorial, remembrance, or token that keeps a person, group, or covenantal promise active in the mind of the observer. In the context of Israel's worship, a memorial is not merely a passive reminder of the past, but an active, visible representation designed to prompt a response. When the High Priest wore the names of the twelve tribes engraved on onyx stones upon his shoulders, he carried them "as a memorial" before the Lord, signifying that Israel was constantly remembered, represented, and valued in God's presence.</w:t>
      </w:r>
    </w:p>
    <w:p w14:paraId="43EE6757" w14:textId="77777777" w:rsidR="001B5B5F" w:rsidRDefault="001B5B5F"/>
    <w:p w14:paraId="7ED2A1AA" w14:textId="77777777" w:rsidR="001B5B5F" w:rsidRDefault="001B5B5F">
      <w:r w:rsidRPr="001B5B5F">
        <w:rPr>
          <w:b/>
        </w:rPr>
        <w:t>Full Study:</w:t>
      </w:r>
    </w:p>
    <w:p w14:paraId="629B3EE3" w14:textId="77777777" w:rsidR="001B5B5F" w:rsidRDefault="001B5B5F"/>
    <w:p w14:paraId="3CC7FE79" w14:textId="77777777" w:rsidR="001B5B5F" w:rsidRPr="001B5B5F" w:rsidRDefault="001B5B5F">
      <w:pPr>
        <w:rPr>
          <w:b/>
        </w:rPr>
      </w:pPr>
      <w:r w:rsidRPr="001B5B5F">
        <w:rPr>
          <w:b/>
        </w:rPr>
        <w:t>1. Word Picture / Background</w:t>
      </w:r>
    </w:p>
    <w:p w14:paraId="0E2DAFD9" w14:textId="77777777" w:rsidR="001B5B5F" w:rsidRDefault="001B5B5F">
      <w:r>
        <w:t>The noun zikkaron derives from the root verb zakar, which means "to remember." In ancient Semitic thought, remembering is not merely a cognitive or intellectual exercise. To remember is to act on behalf of the one remembered. A zikkaron is a tangible object, a recorded writing, or an annual feast that brings the past into the present, prompting God or His people to take covenantal action. In the tabernacle, the two onyx stones on the high priest's shoulder pieces served as a visual reminder. As the priest walked into the Holy Place, the weight of the nation rested on his shoulders, presenting them continuously before Yahweh.</w:t>
      </w:r>
    </w:p>
    <w:p w14:paraId="1F2958E4" w14:textId="77777777" w:rsidR="001B5B5F" w:rsidRDefault="001B5B5F"/>
    <w:p w14:paraId="154202DB" w14:textId="77777777" w:rsidR="001B5B5F" w:rsidRPr="001B5B5F" w:rsidRDefault="001B5B5F">
      <w:pPr>
        <w:rPr>
          <w:b/>
        </w:rPr>
      </w:pPr>
      <w:r w:rsidRPr="001B5B5F">
        <w:rPr>
          <w:b/>
        </w:rPr>
        <w:t>2. Meaning / Lexical Definition</w:t>
      </w:r>
    </w:p>
    <w:p w14:paraId="61DD2442" w14:textId="77777777" w:rsidR="001B5B5F" w:rsidRDefault="001B5B5F">
      <w:r>
        <w:t>The word zikkaron refers to a memorial, a reminder, a record, or a token of remembrance. It denotes a physical object or an event that preserves the memory of something significant. In some contexts, it can refer to a written record or scroll, such as a book of remembrance. In priestly contexts, it functions as a ritual reminder to secure God’s favorable attention or to remind the people of their covenant obligations.</w:t>
      </w:r>
    </w:p>
    <w:p w14:paraId="4B4FD277" w14:textId="77777777" w:rsidR="001B5B5F" w:rsidRDefault="001B5B5F"/>
    <w:p w14:paraId="40AB7BCC" w14:textId="77777777" w:rsidR="001B5B5F" w:rsidRPr="001B5B5F" w:rsidRDefault="001B5B5F">
      <w:pPr>
        <w:rPr>
          <w:b/>
        </w:rPr>
      </w:pPr>
      <w:r w:rsidRPr="001B5B5F">
        <w:rPr>
          <w:b/>
        </w:rPr>
        <w:t>3. Usage and Word Pictures</w:t>
      </w:r>
    </w:p>
    <w:p w14:paraId="469E1103" w14:textId="77777777" w:rsidR="001B5B5F" w:rsidRDefault="001B5B5F">
      <w:r>
        <w:t>The Old Testament uses zikkaron to describe monuments, festivals, and written records:</w:t>
      </w:r>
    </w:p>
    <w:p w14:paraId="51A4A76B" w14:textId="77777777" w:rsidR="001B5B5F" w:rsidRDefault="001B5B5F">
      <w:r>
        <w:t>• Festivals: The Passover is established as a memorial to be kept throughout generations (Exodus 12:14). It is not just historical education, but an active participation in the original redemptive act.</w:t>
      </w:r>
    </w:p>
    <w:p w14:paraId="0439A8F6" w14:textId="77777777" w:rsidR="001B5B5F" w:rsidRDefault="001B5B5F">
      <w:r>
        <w:t>• Written Records: A book of remembrance is written to record those who fear the Lord (Malachi 3:16).</w:t>
      </w:r>
    </w:p>
    <w:p w14:paraId="1F7657F0" w14:textId="77777777" w:rsidR="001B5B5F" w:rsidRDefault="001B5B5F">
      <w:r>
        <w:t>• Physical Objects: The brass censers of Korah’s rebellious followers were hammered into plates for the altar to serve as a memorial to the Israelites that no unauthorized person should offer incense (Numbers 16:40).</w:t>
      </w:r>
    </w:p>
    <w:p w14:paraId="3168EE98" w14:textId="77777777" w:rsidR="001B5B5F" w:rsidRDefault="001B5B5F"/>
    <w:p w14:paraId="1316ED9F" w14:textId="77777777" w:rsidR="001B5B5F" w:rsidRPr="001B5B5F" w:rsidRDefault="001B5B5F">
      <w:pPr>
        <w:rPr>
          <w:b/>
        </w:rPr>
      </w:pPr>
      <w:r w:rsidRPr="001B5B5F">
        <w:rPr>
          <w:b/>
        </w:rPr>
        <w:t>4. Theological Implications</w:t>
      </w:r>
    </w:p>
    <w:p w14:paraId="0BCA4674" w14:textId="77777777" w:rsidR="001B5B5F" w:rsidRDefault="001B5B5F">
      <w:r>
        <w:t>• Divine Remembrance: God does not suffer from amnesia. When the Scriptures state that God "remembers," it means He is about to act in accordance with His covenant (Genesis 8:1, Exodus 2:24). The memorial stones on the priest's shoulders are designed to bring the people of Israel before God's sight so that He might look upon them with favor and mercy.</w:t>
      </w:r>
    </w:p>
    <w:p w14:paraId="66BF4696" w14:textId="77777777" w:rsidR="001B5B5F" w:rsidRDefault="001B5B5F">
      <w:r>
        <w:t>• Representation and Intercession: The high priest acts as a mediator. By bearing the names on his shoulders (representing strength and support) and over his heart (representing love and affection, Exodus 28:29), he demonstrates the dual nature of Christ’s ultimate intercession: carrying His people by His power and holding them in His love.</w:t>
      </w:r>
    </w:p>
    <w:p w14:paraId="5722906C" w14:textId="77777777" w:rsidR="001B5B5F" w:rsidRDefault="001B5B5F"/>
    <w:p w14:paraId="24816743" w14:textId="77777777" w:rsidR="001B5B5F" w:rsidRPr="001B5B5F" w:rsidRDefault="001B5B5F">
      <w:pPr>
        <w:rPr>
          <w:b/>
        </w:rPr>
      </w:pPr>
      <w:r w:rsidRPr="001B5B5F">
        <w:rPr>
          <w:b/>
        </w:rPr>
        <w:t>5. Contextual Nuance in the Passage</w:t>
      </w:r>
    </w:p>
    <w:p w14:paraId="5A4A8201" w14:textId="77777777" w:rsidR="001B5B5F" w:rsidRDefault="001B5B5F">
      <w:r>
        <w:t>In Exodus 28:12, the zikkaron consists of two onyx stones engraved with the names of the sons of Israel (six names on each stone). These stones are mounted on the shoulder straps of the ephod. The shoulder is the place of strength, bearing burdens, and carrying government. Aaron bears their names before the Lord on his two shoulders as a memorial. The nuance here is representative mediation. The priest does not enter the presence of God alone or in his own merit; he enters carrying the entire nation. It is a comforting assurance to Israel that their names are perpetually presented in the Holy Place, secure under the priest’s care.</w:t>
      </w:r>
    </w:p>
    <w:p w14:paraId="435E5682" w14:textId="77777777" w:rsidR="001B5B5F" w:rsidRDefault="001B5B5F"/>
    <w:p w14:paraId="77074454" w14:textId="77777777" w:rsidR="001B5B5F" w:rsidRPr="001B5B5F" w:rsidRDefault="001B5B5F">
      <w:pPr>
        <w:rPr>
          <w:b/>
        </w:rPr>
      </w:pPr>
      <w:r w:rsidRPr="001B5B5F">
        <w:rPr>
          <w:b/>
        </w:rPr>
        <w:t>6. Key Uses in Other Verses (NKJV)</w:t>
      </w:r>
    </w:p>
    <w:p w14:paraId="3E977400" w14:textId="77777777" w:rsidR="001B5B5F" w:rsidRDefault="001B5B5F">
      <w:r>
        <w:t>• Exodus 12:14 - "So this day shall be to you a memorial; and you shall keep it as a feast to the LORD..."</w:t>
      </w:r>
    </w:p>
    <w:p w14:paraId="561AEF9E" w14:textId="77777777" w:rsidR="001B5B5F" w:rsidRDefault="001B5B5F">
      <w:r>
        <w:t>• Exodus 13:9 - "It shall be as a sign to you on your hand and as a memorial between your eyes..."</w:t>
      </w:r>
    </w:p>
    <w:p w14:paraId="6D2270F0" w14:textId="77777777" w:rsidR="001B5B5F" w:rsidRDefault="001B5B5F">
      <w:r>
        <w:t>• Exodus 17:14 - "Then the LORD said to Moses, 'Write this for a memorial in a book and recount it in the hearing of Joshua...'"</w:t>
      </w:r>
    </w:p>
    <w:p w14:paraId="69EB1FDF" w14:textId="77777777" w:rsidR="001B5B5F" w:rsidRDefault="001B5B5F">
      <w:r>
        <w:t>• Joshua 4:7 - "And these stones shall be for a memorial to the children of Israel forever."</w:t>
      </w:r>
    </w:p>
    <w:p w14:paraId="374920EB" w14:textId="77777777" w:rsidR="001B5B5F" w:rsidRDefault="001B5B5F">
      <w:r>
        <w:t>• Zechariah 6:14 - "Now the elaborate crown shall be for a memorial in the temple of the LORD..."</w:t>
      </w:r>
    </w:p>
    <w:p w14:paraId="624F1F78" w14:textId="77777777" w:rsidR="001B5B5F" w:rsidRDefault="001B5B5F"/>
    <w:p w14:paraId="477AA342" w14:textId="77777777" w:rsidR="001B5B5F" w:rsidRPr="001B5B5F" w:rsidRDefault="001B5B5F">
      <w:pPr>
        <w:rPr>
          <w:b/>
        </w:rPr>
      </w:pPr>
      <w:r w:rsidRPr="001B5B5F">
        <w:rPr>
          <w:b/>
        </w:rPr>
        <w:t>7. Other Relevant Insights</w:t>
      </w:r>
    </w:p>
    <w:p w14:paraId="71D56B4B" w14:textId="77777777" w:rsidR="001B5B5F" w:rsidRDefault="001B5B5F">
      <w:r>
        <w:t>The New Testament equivalent of this concept is found in the Greek word anamnesis, used by Jesus in Luke 22:19 ("Do this in remembrance of Me"). Just as the Old Testament zikkaron brought a past covenantal reality into the active present, the Lord's Supper is not a mere mental recollection of a dead leader, but an active, covenantal proclamation of Christ’s living presence and completed work. Additionally, the high priest's garments were designed "for glory and for beauty" (Exodus 28:2). The beautiful stones engraved with the names of God's people show how highly God values His children. They are not a burden to be discarded, but precious jewels worn in His presence.</w:t>
      </w:r>
    </w:p>
    <w:p w14:paraId="4F09364A" w14:textId="77777777" w:rsidR="001B5B5F" w:rsidRDefault="001B5B5F"/>
    <w:p w14:paraId="2540C4A2" w14:textId="77777777" w:rsidR="001B5B5F" w:rsidRPr="001B5B5F" w:rsidRDefault="001B5B5F">
      <w:pPr>
        <w:rPr>
          <w:b/>
        </w:rPr>
      </w:pPr>
      <w:r w:rsidRPr="001B5B5F">
        <w:rPr>
          <w:b/>
        </w:rPr>
        <w:t>8. References</w:t>
      </w:r>
    </w:p>
    <w:p w14:paraId="0F50DD09" w14:textId="77777777" w:rsidR="001B5B5F" w:rsidRDefault="001B5B5F">
      <w:r>
        <w:t>• Brown-Driver-Briggs Hebrew and English Lexicon</w:t>
      </w:r>
    </w:p>
    <w:p w14:paraId="22EE83D6" w14:textId="77777777" w:rsidR="001B5B5F" w:rsidRDefault="001B5B5F">
      <w:r>
        <w:t>• Theological Wordbook of the Old Testament</w:t>
      </w:r>
    </w:p>
    <w:p w14:paraId="618F96A2" w14:textId="77777777" w:rsidR="001B5B5F" w:rsidRDefault="001B5B5F">
      <w:r>
        <w:t>• New International Dictionary of Old Testament Theology and Exegesis</w:t>
      </w:r>
    </w:p>
    <w:p w14:paraId="02F25A8B" w14:textId="77777777" w:rsidR="001B5B5F" w:rsidRDefault="001B5B5F">
      <w:r>
        <w:t>• Gesenius' Hebrew and Chaldee Lexicon</w:t>
      </w:r>
    </w:p>
    <w:p w14:paraId="17D7D234" w14:textId="268828E4" w:rsidR="004C5552" w:rsidRDefault="001B5B5F">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5F"/>
    <w:rsid w:val="00017747"/>
    <w:rsid w:val="00023A4A"/>
    <w:rsid w:val="0006763F"/>
    <w:rsid w:val="000C53AC"/>
    <w:rsid w:val="00146083"/>
    <w:rsid w:val="001B2D17"/>
    <w:rsid w:val="001B5B5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7912"/>
  <w15:chartTrackingRefBased/>
  <w15:docId w15:val="{4962FAEE-B598-408D-B8FB-FAF2CA21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5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5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B5F"/>
    <w:rPr>
      <w:rFonts w:eastAsiaTheme="majorEastAsia" w:cstheme="majorBidi"/>
      <w:color w:val="272727" w:themeColor="text1" w:themeTint="D8"/>
    </w:rPr>
  </w:style>
  <w:style w:type="paragraph" w:styleId="Title">
    <w:name w:val="Title"/>
    <w:basedOn w:val="Normal"/>
    <w:next w:val="Normal"/>
    <w:link w:val="TitleChar"/>
    <w:uiPriority w:val="10"/>
    <w:qFormat/>
    <w:rsid w:val="001B5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B5F"/>
    <w:pPr>
      <w:spacing w:before="160"/>
      <w:jc w:val="center"/>
    </w:pPr>
    <w:rPr>
      <w:i/>
      <w:iCs/>
      <w:color w:val="404040" w:themeColor="text1" w:themeTint="BF"/>
    </w:rPr>
  </w:style>
  <w:style w:type="character" w:customStyle="1" w:styleId="QuoteChar">
    <w:name w:val="Quote Char"/>
    <w:basedOn w:val="DefaultParagraphFont"/>
    <w:link w:val="Quote"/>
    <w:uiPriority w:val="29"/>
    <w:rsid w:val="001B5B5F"/>
    <w:rPr>
      <w:i/>
      <w:iCs/>
      <w:color w:val="404040" w:themeColor="text1" w:themeTint="BF"/>
    </w:rPr>
  </w:style>
  <w:style w:type="paragraph" w:styleId="ListParagraph">
    <w:name w:val="List Paragraph"/>
    <w:basedOn w:val="Normal"/>
    <w:uiPriority w:val="34"/>
    <w:qFormat/>
    <w:rsid w:val="001B5B5F"/>
    <w:pPr>
      <w:ind w:left="720"/>
      <w:contextualSpacing/>
    </w:pPr>
  </w:style>
  <w:style w:type="character" w:styleId="IntenseEmphasis">
    <w:name w:val="Intense Emphasis"/>
    <w:basedOn w:val="DefaultParagraphFont"/>
    <w:uiPriority w:val="21"/>
    <w:qFormat/>
    <w:rsid w:val="001B5B5F"/>
    <w:rPr>
      <w:i/>
      <w:iCs/>
      <w:color w:val="2E74B5" w:themeColor="accent1" w:themeShade="BF"/>
    </w:rPr>
  </w:style>
  <w:style w:type="paragraph" w:styleId="IntenseQuote">
    <w:name w:val="Intense Quote"/>
    <w:basedOn w:val="Normal"/>
    <w:next w:val="Normal"/>
    <w:link w:val="IntenseQuoteChar"/>
    <w:uiPriority w:val="30"/>
    <w:qFormat/>
    <w:rsid w:val="001B5B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5B5F"/>
    <w:rPr>
      <w:i/>
      <w:iCs/>
      <w:color w:val="2E74B5" w:themeColor="accent1" w:themeShade="BF"/>
    </w:rPr>
  </w:style>
  <w:style w:type="character" w:styleId="IntenseReference">
    <w:name w:val="Intense Reference"/>
    <w:basedOn w:val="DefaultParagraphFont"/>
    <w:uiPriority w:val="32"/>
    <w:qFormat/>
    <w:rsid w:val="001B5B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