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CD087" w14:textId="77777777" w:rsidR="009A62FF" w:rsidRPr="009A62FF" w:rsidRDefault="009A62FF">
      <w:pPr>
        <w:rPr>
          <w:b/>
        </w:rPr>
      </w:pPr>
      <w:r w:rsidRPr="009A62FF">
        <w:rPr>
          <w:b/>
        </w:rPr>
        <w:t>COAT - ( tacharā' , Strong's H8473 )</w:t>
      </w:r>
    </w:p>
    <w:p w14:paraId="4D8D4F27" w14:textId="77777777" w:rsidR="009A62FF" w:rsidRDefault="009A62FF">
      <w:r w:rsidRPr="009A62FF">
        <w:rPr>
          <w:b/>
        </w:rPr>
        <w:t>Summary:</w:t>
      </w:r>
    </w:p>
    <w:p w14:paraId="3CC79277" w14:textId="77777777" w:rsidR="009A62FF" w:rsidRDefault="009A62FF">
      <w:r>
        <w:t>The Hebrew word tacharā' refers to a protective corselet, linen cuirass, or coat of mail worn by ancient soldiers to protect their neck and torso in battle. Occurring only twice in the Old Testament—both times in reference to the collar of the high priest's robe—it describes a highly durable, woven reinforcement designed to prevent the garment from tearing. Spiritually, this resilient collar ensures that the high priest's garments remain intact, symbolizing the enduring, unbreakable nature of his ministry, the structural integrity of his office, and the spiritual armor required when entering the presence of the holy God.</w:t>
      </w:r>
    </w:p>
    <w:p w14:paraId="000400B7" w14:textId="77777777" w:rsidR="009A62FF" w:rsidRDefault="009A62FF"/>
    <w:p w14:paraId="65C4BD31" w14:textId="77777777" w:rsidR="009A62FF" w:rsidRDefault="009A62FF">
      <w:r w:rsidRPr="009A62FF">
        <w:rPr>
          <w:b/>
        </w:rPr>
        <w:t>Full Study:</w:t>
      </w:r>
    </w:p>
    <w:p w14:paraId="1C95B233" w14:textId="77777777" w:rsidR="009A62FF" w:rsidRDefault="009A62FF"/>
    <w:p w14:paraId="3CFD54CF" w14:textId="77777777" w:rsidR="009A62FF" w:rsidRPr="009A62FF" w:rsidRDefault="009A62FF">
      <w:pPr>
        <w:rPr>
          <w:b/>
        </w:rPr>
      </w:pPr>
      <w:r w:rsidRPr="009A62FF">
        <w:rPr>
          <w:b/>
        </w:rPr>
        <w:t>1. Word Picture / Background</w:t>
      </w:r>
    </w:p>
    <w:p w14:paraId="0F5CAD41" w14:textId="77777777" w:rsidR="009A62FF" w:rsidRDefault="009A62FF">
      <w:r>
        <w:t>The noun tacharā' is an ancient military term denoting a protective corselet, breastplate, or coat of mail. In the ancient Near East, particularly in Egypt, soldiers wore defensive garments made of heavy linen, leather, or overlapping bronze scales stitched onto a fabric backing. A critical feature of these leather or linen corselets was the strongly reinforced collar. Because the head had to be slipped through the neck-opening, this area experienced intense stress and was highly vulnerable to fraying or ripping in the heat of battle. To prevent this, the collar was constructed with an exceptionally strong, double-woven or bound edge. This military-grade durability is the primary word picture behind the term.</w:t>
      </w:r>
    </w:p>
    <w:p w14:paraId="563ABD5D" w14:textId="77777777" w:rsidR="009A62FF" w:rsidRDefault="009A62FF"/>
    <w:p w14:paraId="012C8382" w14:textId="77777777" w:rsidR="009A62FF" w:rsidRPr="009A62FF" w:rsidRDefault="009A62FF">
      <w:pPr>
        <w:rPr>
          <w:b/>
        </w:rPr>
      </w:pPr>
      <w:r w:rsidRPr="009A62FF">
        <w:rPr>
          <w:b/>
        </w:rPr>
        <w:t>2. Meaning / Lexical Definition</w:t>
      </w:r>
    </w:p>
    <w:p w14:paraId="29A81B3C" w14:textId="77777777" w:rsidR="009A62FF" w:rsidRDefault="009A62FF">
      <w:r>
        <w:t>The term tacharā' means a corselet, leather cuirass, or coat of mail. It designates a piece of defensive armor covering the neck and upper torso. Lexically, the word is recognized as an Egyptian loanword (t'chra), reflecting the historical context of Israel's recent departure from Egypt, where such military gear was highly developed. The essential semantic emphasis of the word is unyielding strength, tear-resistance, and structural integrity under physical tension.</w:t>
      </w:r>
    </w:p>
    <w:p w14:paraId="23ABA6C1" w14:textId="77777777" w:rsidR="009A62FF" w:rsidRDefault="009A62FF"/>
    <w:p w14:paraId="3EE72C3B" w14:textId="77777777" w:rsidR="009A62FF" w:rsidRPr="009A62FF" w:rsidRDefault="009A62FF">
      <w:pPr>
        <w:rPr>
          <w:b/>
        </w:rPr>
      </w:pPr>
      <w:r w:rsidRPr="009A62FF">
        <w:rPr>
          <w:b/>
        </w:rPr>
        <w:t>3. Usage and Word Pictures</w:t>
      </w:r>
    </w:p>
    <w:p w14:paraId="1EC19F46" w14:textId="77777777" w:rsidR="009A62FF" w:rsidRDefault="009A62FF">
      <w:r>
        <w:t>Because tacharā' refers to a soldier’s protective armor, its application to the high priest’s sacred garments creates a striking visual and functional parallel:</w:t>
      </w:r>
    </w:p>
    <w:p w14:paraId="20ED915F" w14:textId="77777777" w:rsidR="009A62FF" w:rsidRDefault="009A62FF">
      <w:r>
        <w:t>• The High Priest’s Robe: The robe of the ephod was made of a single piece of blue cloth with an opening in the center for the head.</w:t>
      </w:r>
    </w:p>
    <w:p w14:paraId="59B04A74" w14:textId="77777777" w:rsidR="009A62FF" w:rsidRDefault="009A62FF">
      <w:r>
        <w:t>• The Reinforced Opening: To ensure the collar could withstand the physical demands of daily sacrificial service without tearing, it was designed with a woven binding all around, mirroring the construction of the opening in a coat of mail.</w:t>
      </w:r>
    </w:p>
    <w:p w14:paraId="237E6A86" w14:textId="77777777" w:rsidR="009A62FF" w:rsidRDefault="009A62FF">
      <w:r>
        <w:t>• Preservation of Glory: The woven binding functioned like the reinforced collar of a soldier’s cuirass, providing structural rigidity and ensuring the garment remained perfectly intact during worship.</w:t>
      </w:r>
    </w:p>
    <w:p w14:paraId="2122592C" w14:textId="77777777" w:rsidR="009A62FF" w:rsidRDefault="009A62FF"/>
    <w:p w14:paraId="187917CE" w14:textId="77777777" w:rsidR="009A62FF" w:rsidRPr="009A62FF" w:rsidRDefault="009A62FF">
      <w:pPr>
        <w:rPr>
          <w:b/>
        </w:rPr>
      </w:pPr>
      <w:r w:rsidRPr="009A62FF">
        <w:rPr>
          <w:b/>
        </w:rPr>
        <w:t>4. Theological Implications</w:t>
      </w:r>
    </w:p>
    <w:p w14:paraId="4442CA58" w14:textId="77777777" w:rsidR="009A62FF" w:rsidRDefault="009A62FF">
      <w:r>
        <w:t>The high priest was a mediator who stood between a holy God and a sinful people. His garments were not merely decorative; they were designed "for glory and for beauty" (Exodus 28:2) and carried deep theological significance:</w:t>
      </w:r>
    </w:p>
    <w:p w14:paraId="696BD851" w14:textId="77777777" w:rsidR="009A62FF" w:rsidRDefault="009A62FF">
      <w:r>
        <w:t>• Integrity of the Office: A torn garment in Israel was a sign of mourning, defilement, or national disaster. Leviticus 21:10 explicitly forbade the high priest from tearing his clothes. If his garments tore during service, it would disqualify him and disrupt his mediatorial role. The military-grade reinforcement of tacharā' guaranteed the functional and ceremonial wholeness of the priesthood.</w:t>
      </w:r>
    </w:p>
    <w:p w14:paraId="5D5FE244" w14:textId="77777777" w:rsidR="009A62FF" w:rsidRDefault="009A62FF">
      <w:r>
        <w:t>• Spiritual Warfare and Protection: The high priest's entrance into the Tabernacle was a form of spiritual warfare. He carried the names of the twelve tribes on his shoulders and breastplate, confronting the spiritual realities of sin, judgment, and atonement. The military imagery of a "coat of mail" reminds us that ministry in the presence of God requires spiritual armor, protective shielding, and divine strength.</w:t>
      </w:r>
    </w:p>
    <w:p w14:paraId="199F91D2" w14:textId="77777777" w:rsidR="009A62FF" w:rsidRDefault="009A62FF"/>
    <w:p w14:paraId="26A54994" w14:textId="77777777" w:rsidR="009A62FF" w:rsidRPr="009A62FF" w:rsidRDefault="009A62FF">
      <w:pPr>
        <w:rPr>
          <w:b/>
        </w:rPr>
      </w:pPr>
      <w:r w:rsidRPr="009A62FF">
        <w:rPr>
          <w:b/>
        </w:rPr>
        <w:t>5. Contextual Nuance in the Passage</w:t>
      </w:r>
    </w:p>
    <w:p w14:paraId="54FCF8A2" w14:textId="77777777" w:rsidR="009A62FF" w:rsidRDefault="009A62FF">
      <w:r>
        <w:t>In Exodus 28:32, the construction of the robe of the ephod is described. This robe was worn directly beneath the ephod itself. The text emphasizes that the opening for the head must have "a woven binding all around its opening, like the opening in a coat of mail (tacharā'), so that it does not tear." The immediate context is practical preservation. By utilizing a technique modeled after high-quality armor fabrication, the craftsman Bezalel and his assistants ensured that the priest’s most sacred vestments could endure the wear and tear of sanctuary service. It reflects God's meticulous care for detail, combining functional engineering with holy aesthetics.</w:t>
      </w:r>
    </w:p>
    <w:p w14:paraId="040302F9" w14:textId="77777777" w:rsidR="009A62FF" w:rsidRDefault="009A62FF"/>
    <w:p w14:paraId="435FA59F" w14:textId="77777777" w:rsidR="009A62FF" w:rsidRPr="009A62FF" w:rsidRDefault="009A62FF">
      <w:pPr>
        <w:rPr>
          <w:b/>
        </w:rPr>
      </w:pPr>
      <w:r w:rsidRPr="009A62FF">
        <w:rPr>
          <w:b/>
        </w:rPr>
        <w:t>6. Key Uses in Other Verses (NKJV)</w:t>
      </w:r>
    </w:p>
    <w:p w14:paraId="61E80F94" w14:textId="77777777" w:rsidR="009A62FF" w:rsidRDefault="009A62FF">
      <w:r>
        <w:t>The Hebrew word tacharā' appears only twice in the entire Old Testament, both in identical contexts describing the manufacture and assembly of the high priest's garments:</w:t>
      </w:r>
    </w:p>
    <w:p w14:paraId="3CD956D4" w14:textId="77777777" w:rsidR="009A62FF" w:rsidRDefault="009A62FF">
      <w:r>
        <w:t>• Exodus 28:32 – "There shall be an opening for his head in the middle of it; it shall have a woven binding all around its opening, like the opening in a coat of mail, so that it does not tear."</w:t>
      </w:r>
    </w:p>
    <w:p w14:paraId="7BFA11C2" w14:textId="77777777" w:rsidR="009A62FF" w:rsidRDefault="009A62FF">
      <w:r>
        <w:t>• Exodus 39:23 – "And there was an opening in the middle of the robe, like the opening in a coat of mail, with a woven binding all around the opening, so that it would not tear."</w:t>
      </w:r>
    </w:p>
    <w:p w14:paraId="5B1CDDAF" w14:textId="77777777" w:rsidR="009A62FF" w:rsidRDefault="009A62FF"/>
    <w:p w14:paraId="023231D4" w14:textId="77777777" w:rsidR="009A62FF" w:rsidRPr="009A62FF" w:rsidRDefault="009A62FF">
      <w:pPr>
        <w:rPr>
          <w:b/>
        </w:rPr>
      </w:pPr>
      <w:r w:rsidRPr="009A62FF">
        <w:rPr>
          <w:b/>
        </w:rPr>
        <w:t>7. Other Relevant Insights</w:t>
      </w:r>
    </w:p>
    <w:p w14:paraId="644E2666" w14:textId="77777777" w:rsidR="009A62FF" w:rsidRDefault="009A62FF">
      <w:r>
        <w:t>The comparison to a "coat of mail" provides a fascinating archaeological link to the Late Bronze Age. Egyptian tomb paintings from the New Kingdom period depict soldiers wearing linen corselets with heavily bound, red-and-blue decorated collars. The Israelites, having recently plundered the Egyptians at the Exodus, were intimately familiar with this technology. God redeemed this military technology, using its structural wisdom to secure the garments of peace and reconciliation worn by His priest.</w:t>
      </w:r>
    </w:p>
    <w:p w14:paraId="7404B780" w14:textId="77777777" w:rsidR="009A62FF" w:rsidRDefault="009A62FF"/>
    <w:p w14:paraId="56A6A524" w14:textId="77777777" w:rsidR="009A62FF" w:rsidRPr="009A62FF" w:rsidRDefault="009A62FF">
      <w:pPr>
        <w:rPr>
          <w:b/>
        </w:rPr>
      </w:pPr>
      <w:r w:rsidRPr="009A62FF">
        <w:rPr>
          <w:b/>
        </w:rPr>
        <w:t>8. References</w:t>
      </w:r>
    </w:p>
    <w:p w14:paraId="3F838F65" w14:textId="77777777" w:rsidR="009A62FF" w:rsidRDefault="009A62FF">
      <w:r>
        <w:t>• Brown, Francis, S.R. Driver, and Charles A. Briggs. The Brown-Driver-Briggs Hebrew and English Lexicon.</w:t>
      </w:r>
    </w:p>
    <w:p w14:paraId="4CB45904" w14:textId="77777777" w:rsidR="009A62FF" w:rsidRDefault="009A62FF">
      <w:r>
        <w:t>• Harris, R. Laird, Gleason L. Archer Jr., and Bruce K. Waltke. Theological Wordbook of the Old Testament.</w:t>
      </w:r>
    </w:p>
    <w:p w14:paraId="530C8CFF" w14:textId="77777777" w:rsidR="009A62FF" w:rsidRDefault="009A62FF">
      <w:r>
        <w:t>• Koehler, Ludwig, Walter Baumgartner, and Johann J. Stamm. The Hebrew and Aramaic Lexicon of the Old Testament.</w:t>
      </w:r>
    </w:p>
    <w:p w14:paraId="7F80BC20" w14:textId="77777777" w:rsidR="009A62FF" w:rsidRDefault="009A62FF">
      <w:r>
        <w:t>• Gesenius, Wilhelm. Gesenius' Hebrew and Chaldee Lexicon to the Old Testament Scriptures.</w:t>
      </w:r>
    </w:p>
    <w:p w14:paraId="17F124F9" w14:textId="08BE04CD" w:rsidR="004C5552" w:rsidRDefault="009A62FF">
      <w:r>
        <w:t>• Cole, R. Alan. Exodus: An Introduction and Commentary. Tyndale Old Testament Commentaries.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2F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A62FF"/>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485FB"/>
  <w15:chartTrackingRefBased/>
  <w15:docId w15:val="{B4F87D01-47DA-48EC-A1AC-62814E3AF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A6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A6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2FF"/>
    <w:rPr>
      <w:rFonts w:eastAsiaTheme="majorEastAsia" w:cstheme="majorBidi"/>
      <w:color w:val="272727" w:themeColor="text1" w:themeTint="D8"/>
    </w:rPr>
  </w:style>
  <w:style w:type="paragraph" w:styleId="Title">
    <w:name w:val="Title"/>
    <w:basedOn w:val="Normal"/>
    <w:next w:val="Normal"/>
    <w:link w:val="TitleChar"/>
    <w:uiPriority w:val="10"/>
    <w:qFormat/>
    <w:rsid w:val="009A6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2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2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2FF"/>
    <w:pPr>
      <w:spacing w:before="160"/>
      <w:jc w:val="center"/>
    </w:pPr>
    <w:rPr>
      <w:i/>
      <w:iCs/>
      <w:color w:val="404040" w:themeColor="text1" w:themeTint="BF"/>
    </w:rPr>
  </w:style>
  <w:style w:type="character" w:customStyle="1" w:styleId="QuoteChar">
    <w:name w:val="Quote Char"/>
    <w:basedOn w:val="DefaultParagraphFont"/>
    <w:link w:val="Quote"/>
    <w:uiPriority w:val="29"/>
    <w:rsid w:val="009A62FF"/>
    <w:rPr>
      <w:i/>
      <w:iCs/>
      <w:color w:val="404040" w:themeColor="text1" w:themeTint="BF"/>
    </w:rPr>
  </w:style>
  <w:style w:type="paragraph" w:styleId="ListParagraph">
    <w:name w:val="List Paragraph"/>
    <w:basedOn w:val="Normal"/>
    <w:uiPriority w:val="34"/>
    <w:qFormat/>
    <w:rsid w:val="009A62FF"/>
    <w:pPr>
      <w:ind w:left="720"/>
      <w:contextualSpacing/>
    </w:pPr>
  </w:style>
  <w:style w:type="character" w:styleId="IntenseEmphasis">
    <w:name w:val="Intense Emphasis"/>
    <w:basedOn w:val="DefaultParagraphFont"/>
    <w:uiPriority w:val="21"/>
    <w:qFormat/>
    <w:rsid w:val="009A62FF"/>
    <w:rPr>
      <w:i/>
      <w:iCs/>
      <w:color w:val="2E74B5" w:themeColor="accent1" w:themeShade="BF"/>
    </w:rPr>
  </w:style>
  <w:style w:type="paragraph" w:styleId="IntenseQuote">
    <w:name w:val="Intense Quote"/>
    <w:basedOn w:val="Normal"/>
    <w:next w:val="Normal"/>
    <w:link w:val="IntenseQuoteChar"/>
    <w:uiPriority w:val="30"/>
    <w:qFormat/>
    <w:rsid w:val="009A62F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A62FF"/>
    <w:rPr>
      <w:i/>
      <w:iCs/>
      <w:color w:val="2E74B5" w:themeColor="accent1" w:themeShade="BF"/>
    </w:rPr>
  </w:style>
  <w:style w:type="character" w:styleId="IntenseReference">
    <w:name w:val="Intense Reference"/>
    <w:basedOn w:val="DefaultParagraphFont"/>
    <w:uiPriority w:val="32"/>
    <w:qFormat/>
    <w:rsid w:val="009A62F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912</Words>
  <Characters>5200</Characters>
  <Application>Microsoft Office Word</Application>
  <DocSecurity>0</DocSecurity>
  <Lines>43</Lines>
  <Paragraphs>12</Paragraphs>
  <ScaleCrop>false</ScaleCrop>
  <Company/>
  <LinksUpToDate>false</LinksUpToDate>
  <CharactersWithSpaces>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2026-08-14T10:50:00Z</dcterms:created>
  <dcterms:modified xsi:type="dcterms:W3CDTF">2026-08-14T10:50:00Z</dcterms:modified>
</cp:coreProperties>
</file>