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AC1E" w14:textId="77777777" w:rsidR="00FE42EF" w:rsidRPr="00FE42EF" w:rsidRDefault="00FE42EF">
      <w:pPr>
        <w:rPr>
          <w:b/>
        </w:rPr>
      </w:pPr>
      <w:r w:rsidRPr="00FE42EF">
        <w:rPr>
          <w:b/>
        </w:rPr>
        <w:t>ACCEPTED - ( rāṣôn , Strong's H7522 )</w:t>
      </w:r>
    </w:p>
    <w:p w14:paraId="7354A4E5" w14:textId="77777777" w:rsidR="00FE42EF" w:rsidRDefault="00FE42EF">
      <w:r w:rsidRPr="00FE42EF">
        <w:rPr>
          <w:b/>
        </w:rPr>
        <w:t>Summary:</w:t>
      </w:r>
    </w:p>
    <w:p w14:paraId="423D1464" w14:textId="77777777" w:rsidR="00FE42EF" w:rsidRDefault="00FE42EF">
      <w:r>
        <w:t>The Hebrew noun rāṣôn refers to favor, goodwill, pleasure, or acceptance. In the context of the sanctuary and the priesthood, it expresses the state of being pleasing and welcome to God. In Exodus 28:38, the golden plate on the High Priest’s turban—engraved with "Holiness to the LORD"—secured this divine acceptance for the people of Israel. It ensured that despite the inherent imperfections of their holy gifts, the worshipers themselves would be favorably received and accepted in the presence of Yahweh.</w:t>
      </w:r>
    </w:p>
    <w:p w14:paraId="1B4AF9B1" w14:textId="77777777" w:rsidR="00FE42EF" w:rsidRDefault="00FE42EF"/>
    <w:p w14:paraId="5D41AF8B" w14:textId="77777777" w:rsidR="00FE42EF" w:rsidRDefault="00FE42EF">
      <w:r w:rsidRPr="00FE42EF">
        <w:rPr>
          <w:b/>
        </w:rPr>
        <w:t>Full Study:</w:t>
      </w:r>
    </w:p>
    <w:p w14:paraId="4244DFFF" w14:textId="77777777" w:rsidR="00FE42EF" w:rsidRDefault="00FE42EF"/>
    <w:p w14:paraId="5004A08C" w14:textId="77777777" w:rsidR="00FE42EF" w:rsidRPr="00FE42EF" w:rsidRDefault="00FE42EF">
      <w:pPr>
        <w:rPr>
          <w:b/>
        </w:rPr>
      </w:pPr>
      <w:r w:rsidRPr="00FE42EF">
        <w:rPr>
          <w:b/>
        </w:rPr>
        <w:t>1. Word Picture / Background</w:t>
      </w:r>
    </w:p>
    <w:p w14:paraId="4B1F0544" w14:textId="77777777" w:rsidR="00FE42EF" w:rsidRDefault="00FE42EF">
      <w:r>
        <w:t>• The root verb rāṣāh means to be pleased with, to welcome, or to accept favorably. The noun rāṣôn denotes the concrete expression of that pleasure—goodwill, delight, or favor.</w:t>
      </w:r>
    </w:p>
    <w:p w14:paraId="7944E978" w14:textId="77777777" w:rsidR="00FE42EF" w:rsidRDefault="00FE42EF">
      <w:r>
        <w:t>• In ancient Near Eastern royal courts, a subject's life depended on the rāṣôn (favor) of the king. To stand in the king's favor meant life, security, and blessing, while his displeasure meant exile or death.</w:t>
      </w:r>
    </w:p>
    <w:p w14:paraId="4D124B73" w14:textId="77777777" w:rsidR="00FE42EF" w:rsidRDefault="00FE42EF">
      <w:r>
        <w:t>• In the biblical covenant, this concept is elevated to the divine-human relationship. Rāṣôn is not something coerced from an unpredictable deity through pagan rituals. Instead, Yahweh graciously provides the means by which His people can consistently enter and remain in His favor.</w:t>
      </w:r>
    </w:p>
    <w:p w14:paraId="6716F59E" w14:textId="77777777" w:rsidR="00FE42EF" w:rsidRDefault="00FE42EF"/>
    <w:p w14:paraId="25B17411" w14:textId="77777777" w:rsidR="00FE42EF" w:rsidRPr="00FE42EF" w:rsidRDefault="00FE42EF">
      <w:pPr>
        <w:rPr>
          <w:b/>
        </w:rPr>
      </w:pPr>
      <w:r w:rsidRPr="00FE42EF">
        <w:rPr>
          <w:b/>
        </w:rPr>
        <w:t>2. Meaning / Lexical Definition</w:t>
      </w:r>
    </w:p>
    <w:p w14:paraId="5E7CBBBD" w14:textId="77777777" w:rsidR="00FE42EF" w:rsidRDefault="00FE42EF">
      <w:r>
        <w:t>• Rāṣôn carries the primary meaning of "pleasure," "delight," "favor," or "goodwill."</w:t>
      </w:r>
    </w:p>
    <w:p w14:paraId="2DEB8758" w14:textId="77777777" w:rsidR="00FE42EF" w:rsidRDefault="00FE42EF">
      <w:r>
        <w:t>• In priestly and sacrificial texts, it functions as a technical term for "acceptance." When combined with the preposition le (as lerāṣôn), it translates literally as "for acceptance" or "so that one may be accepted."</w:t>
      </w:r>
    </w:p>
    <w:p w14:paraId="77C35B12" w14:textId="77777777" w:rsidR="00FE42EF" w:rsidRDefault="00FE42EF">
      <w:r>
        <w:t>• It describes a state of relational reconciliation where God looks upon a person or their offering with pleasure and approval, validating their standing before Him.</w:t>
      </w:r>
    </w:p>
    <w:p w14:paraId="6A565927" w14:textId="77777777" w:rsidR="00FE42EF" w:rsidRDefault="00FE42EF"/>
    <w:p w14:paraId="41AD5A00" w14:textId="77777777" w:rsidR="00FE42EF" w:rsidRPr="00FE42EF" w:rsidRDefault="00FE42EF">
      <w:pPr>
        <w:rPr>
          <w:b/>
        </w:rPr>
      </w:pPr>
      <w:r w:rsidRPr="00FE42EF">
        <w:rPr>
          <w:b/>
        </w:rPr>
        <w:t>3. Usage and Word Pictures</w:t>
      </w:r>
    </w:p>
    <w:p w14:paraId="0A75FEF4" w14:textId="77777777" w:rsidR="00FE42EF" w:rsidRDefault="00FE42EF">
      <w:r>
        <w:t>• The word is frequently paired with sacrifices to indicate whether the offering is acceptable to God. If an offering is brought according to God's instructions, it is received lerāṣôn (for acceptance) on behalf of the worshiper.</w:t>
      </w:r>
    </w:p>
    <w:p w14:paraId="6F2BEA44" w14:textId="77777777" w:rsidR="00FE42EF" w:rsidRDefault="00FE42EF">
      <w:r>
        <w:t>• It is pictured as a protective shield in Psalm 5:12, where God surrounds the righteous with His "favor" as with a shield.</w:t>
      </w:r>
    </w:p>
    <w:p w14:paraId="2DED6C22" w14:textId="77777777" w:rsidR="00FE42EF" w:rsidRDefault="00FE42EF">
      <w:r>
        <w:t>• It is contrasted with divine wrath (‘eṣep). While God's anger lasts for a moment, His rāṣôn (favor) is for a lifetime (Psalm 30:5).</w:t>
      </w:r>
    </w:p>
    <w:p w14:paraId="3D0D117E" w14:textId="77777777" w:rsidR="00FE42EF" w:rsidRDefault="00FE42EF">
      <w:r>
        <w:t>• The "acceptable year of the LORD" (Isaiah 61:2) uses this word to describe an era characterized by God's sovereign favor, grace, and redemption.</w:t>
      </w:r>
    </w:p>
    <w:p w14:paraId="6BF27D9A" w14:textId="77777777" w:rsidR="00FE42EF" w:rsidRDefault="00FE42EF"/>
    <w:p w14:paraId="58609FC3" w14:textId="77777777" w:rsidR="00FE42EF" w:rsidRPr="00FE42EF" w:rsidRDefault="00FE42EF">
      <w:pPr>
        <w:rPr>
          <w:b/>
        </w:rPr>
      </w:pPr>
      <w:r w:rsidRPr="00FE42EF">
        <w:rPr>
          <w:b/>
        </w:rPr>
        <w:t>4. Theological Implications</w:t>
      </w:r>
    </w:p>
    <w:p w14:paraId="306CEECE" w14:textId="77777777" w:rsidR="00FE42EF" w:rsidRDefault="00FE42EF">
      <w:r>
        <w:t>• Rāṣôn underscores the reality that human access to God is not an inherent right but a privilege granted by divine grace. Because God is holy, sinful humans cannot presume acceptance on their own merits.</w:t>
      </w:r>
    </w:p>
    <w:p w14:paraId="2FEB6E21" w14:textId="77777777" w:rsidR="00FE42EF" w:rsidRDefault="00FE42EF">
      <w:r>
        <w:t>• Acceptance is mediated. In the Levitical system, the mediator (the High Priest) and the sacrificial system are the means through which God establishes and maintains this favor.</w:t>
      </w:r>
    </w:p>
    <w:p w14:paraId="2857395C" w14:textId="77777777" w:rsidR="00FE42EF" w:rsidRDefault="00FE42EF">
      <w:r>
        <w:t>• This Old Testament concept lays the theological foundation for the New Testament doctrine of justification and acceptance in Christ. Believers are "accepted in the Beloved" (Ephesians 1:6), meaning Christ serves as the ultimate High Priest who secures eternal rāṣôn for His people.</w:t>
      </w:r>
    </w:p>
    <w:p w14:paraId="7C3425CC" w14:textId="77777777" w:rsidR="00FE42EF" w:rsidRDefault="00FE42EF"/>
    <w:p w14:paraId="12D7AED9" w14:textId="77777777" w:rsidR="00FE42EF" w:rsidRPr="00FE42EF" w:rsidRDefault="00FE42EF">
      <w:pPr>
        <w:rPr>
          <w:b/>
        </w:rPr>
      </w:pPr>
      <w:r w:rsidRPr="00FE42EF">
        <w:rPr>
          <w:b/>
        </w:rPr>
        <w:t>5. Contextual Nuance in the Passage</w:t>
      </w:r>
    </w:p>
    <w:p w14:paraId="09811FED" w14:textId="77777777" w:rsidR="00FE42EF" w:rsidRDefault="00FE42EF">
      <w:r>
        <w:t>• In Exodus 28:38, the golden plate (ṣîṣ) is fastened to the forefront of Aaron’s turban. It is engraved with "HOLINESS TO THE LORD."</w:t>
      </w:r>
    </w:p>
    <w:p w14:paraId="41BDE18C" w14:textId="77777777" w:rsidR="00FE42EF" w:rsidRDefault="00FE42EF">
      <w:r>
        <w:t>• Aaron wears this plate on his forehead specifically to "bear the iniquity of the holy things." Even when Israel brought their holy gifts, their offerings were touched by human imperfection, weakness, and sin.</w:t>
      </w:r>
    </w:p>
    <w:p w14:paraId="360B059F" w14:textId="77777777" w:rsidR="00FE42EF" w:rsidRDefault="00FE42EF">
      <w:r>
        <w:t>• The golden plate signifies that the High Priest stands as a consecrated representative, absorbing or covering the ritual and moral blemishes of the people's worship.</w:t>
      </w:r>
    </w:p>
    <w:p w14:paraId="6D1225C2" w14:textId="77777777" w:rsidR="00FE42EF" w:rsidRDefault="00FE42EF">
      <w:r>
        <w:t>• Because the High Priest bears this holiness on his forehead, the people's gifts and their persons are lerāṣôn (accepted) before Yahweh. It is a striking picture of imputed holiness: the representative's flawless consecration is credited to those he represents.</w:t>
      </w:r>
    </w:p>
    <w:p w14:paraId="5A5B2B2A" w14:textId="77777777" w:rsidR="00FE42EF" w:rsidRDefault="00FE42EF"/>
    <w:p w14:paraId="1D63C9EE" w14:textId="77777777" w:rsidR="00FE42EF" w:rsidRPr="00FE42EF" w:rsidRDefault="00FE42EF">
      <w:pPr>
        <w:rPr>
          <w:b/>
        </w:rPr>
      </w:pPr>
      <w:r w:rsidRPr="00FE42EF">
        <w:rPr>
          <w:b/>
        </w:rPr>
        <w:t>6. Key Uses in Other Verses (NKJV)</w:t>
      </w:r>
    </w:p>
    <w:p w14:paraId="1DE8A322" w14:textId="77777777" w:rsidR="00FE42EF" w:rsidRDefault="00FE42EF">
      <w:r>
        <w:t>• Leviticus 22:20: "Whatever has a defect, you shall not offer, for it shall not be acceptable [rāṣôn] on your behalf."</w:t>
      </w:r>
    </w:p>
    <w:p w14:paraId="6E96273F" w14:textId="77777777" w:rsidR="00FE42EF" w:rsidRDefault="00FE42EF">
      <w:r>
        <w:t>• Psalm 19:14: "Let the words of my mouth and the meditation of my heart be acceptable [rāṣôn] in Your sight, O LORD, my strength and my Redeemer."</w:t>
      </w:r>
    </w:p>
    <w:p w14:paraId="5F08FFCB" w14:textId="77777777" w:rsidR="00FE42EF" w:rsidRDefault="00FE42EF">
      <w:r>
        <w:t>• Proverbs 12:2: "A good man obtains favor [rāṣôn] from the LORD, but a man of wicked intentions He will condemn."</w:t>
      </w:r>
    </w:p>
    <w:p w14:paraId="6E859973" w14:textId="77777777" w:rsidR="00FE42EF" w:rsidRDefault="00FE42EF">
      <w:r>
        <w:t>• Isaiah 58:5: "Is it a fast that I have chosen, a day for a man to afflict his soul?... Would you call this a fast, and an acceptable [rāṣôn] day to the LORD?"</w:t>
      </w:r>
    </w:p>
    <w:p w14:paraId="7D4C32A8" w14:textId="77777777" w:rsidR="00FE42EF" w:rsidRDefault="00FE42EF"/>
    <w:p w14:paraId="132B8171" w14:textId="77777777" w:rsidR="00FE42EF" w:rsidRPr="00FE42EF" w:rsidRDefault="00FE42EF">
      <w:pPr>
        <w:rPr>
          <w:b/>
        </w:rPr>
      </w:pPr>
      <w:r w:rsidRPr="00FE42EF">
        <w:rPr>
          <w:b/>
        </w:rPr>
        <w:t>7. Other Relevant Insights</w:t>
      </w:r>
    </w:p>
    <w:p w14:paraId="47AF54D9" w14:textId="77777777" w:rsidR="00FE42EF" w:rsidRDefault="00FE42EF">
      <w:r>
        <w:t>• The Greek translation of the Old Testament (Septuagint) frequently translates rāṣôn in sacrificial contexts using the adjective dektos ("acceptable," "welcome"). This same Greek vocabulary is picked up in the New Testament by Paul in Romans 12:1 ("acceptable to God") and Philippians 4:18 ("an acceptable sacrifice, well-pleasing to God"), showing a direct conceptual link between Old Testament ritual acceptance and New Testament spiritual worship.</w:t>
      </w:r>
    </w:p>
    <w:p w14:paraId="1F0B9216" w14:textId="77777777" w:rsidR="00FE42EF" w:rsidRDefault="00FE42EF"/>
    <w:p w14:paraId="2AA7BB3F" w14:textId="77777777" w:rsidR="00FE42EF" w:rsidRPr="00FE42EF" w:rsidRDefault="00FE42EF">
      <w:pPr>
        <w:rPr>
          <w:b/>
        </w:rPr>
      </w:pPr>
      <w:r w:rsidRPr="00FE42EF">
        <w:rPr>
          <w:b/>
        </w:rPr>
        <w:t>8. References</w:t>
      </w:r>
    </w:p>
    <w:p w14:paraId="27F11180" w14:textId="77777777" w:rsidR="00FE42EF" w:rsidRDefault="00FE42EF">
      <w:r>
        <w:t>• Brown, Francis, S.R. Driver, and Charles A. Briggs. The Brown-Driver-Briggs Hebrew and English Lexicon.</w:t>
      </w:r>
    </w:p>
    <w:p w14:paraId="3847E43D" w14:textId="77777777" w:rsidR="00FE42EF" w:rsidRDefault="00FE42EF">
      <w:r>
        <w:t>• Harris, R. Laird, Gleason L. Archer Jr., and Bruce K. Waltke. Theological Wordbook of the Old Testament.</w:t>
      </w:r>
    </w:p>
    <w:p w14:paraId="168F6FA6" w14:textId="77777777" w:rsidR="00FE42EF" w:rsidRDefault="00FE42EF">
      <w:r>
        <w:t>• Koehler, Ludwig, and Walter Baumgartner. The Hebrew and Aramaic Lexicon of the Old Testament.</w:t>
      </w:r>
    </w:p>
    <w:p w14:paraId="7CC25734" w14:textId="78317874" w:rsidR="004C5552" w:rsidRDefault="00FE42E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4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4707"/>
  <w15:chartTrackingRefBased/>
  <w15:docId w15:val="{3490F24C-F87E-4B30-8A4D-CB30D8BC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EF"/>
    <w:rPr>
      <w:rFonts w:eastAsiaTheme="majorEastAsia" w:cstheme="majorBidi"/>
      <w:color w:val="272727" w:themeColor="text1" w:themeTint="D8"/>
    </w:rPr>
  </w:style>
  <w:style w:type="paragraph" w:styleId="Title">
    <w:name w:val="Title"/>
    <w:basedOn w:val="Normal"/>
    <w:next w:val="Normal"/>
    <w:link w:val="TitleChar"/>
    <w:uiPriority w:val="10"/>
    <w:qFormat/>
    <w:rsid w:val="00FE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EF"/>
    <w:pPr>
      <w:spacing w:before="160"/>
      <w:jc w:val="center"/>
    </w:pPr>
    <w:rPr>
      <w:i/>
      <w:iCs/>
      <w:color w:val="404040" w:themeColor="text1" w:themeTint="BF"/>
    </w:rPr>
  </w:style>
  <w:style w:type="character" w:customStyle="1" w:styleId="QuoteChar">
    <w:name w:val="Quote Char"/>
    <w:basedOn w:val="DefaultParagraphFont"/>
    <w:link w:val="Quote"/>
    <w:uiPriority w:val="29"/>
    <w:rsid w:val="00FE42EF"/>
    <w:rPr>
      <w:i/>
      <w:iCs/>
      <w:color w:val="404040" w:themeColor="text1" w:themeTint="BF"/>
    </w:rPr>
  </w:style>
  <w:style w:type="paragraph" w:styleId="ListParagraph">
    <w:name w:val="List Paragraph"/>
    <w:basedOn w:val="Normal"/>
    <w:uiPriority w:val="34"/>
    <w:qFormat/>
    <w:rsid w:val="00FE42EF"/>
    <w:pPr>
      <w:ind w:left="720"/>
      <w:contextualSpacing/>
    </w:pPr>
  </w:style>
  <w:style w:type="character" w:styleId="IntenseEmphasis">
    <w:name w:val="Intense Emphasis"/>
    <w:basedOn w:val="DefaultParagraphFont"/>
    <w:uiPriority w:val="21"/>
    <w:qFormat/>
    <w:rsid w:val="00FE42EF"/>
    <w:rPr>
      <w:i/>
      <w:iCs/>
      <w:color w:val="2E74B5" w:themeColor="accent1" w:themeShade="BF"/>
    </w:rPr>
  </w:style>
  <w:style w:type="paragraph" w:styleId="IntenseQuote">
    <w:name w:val="Intense Quote"/>
    <w:basedOn w:val="Normal"/>
    <w:next w:val="Normal"/>
    <w:link w:val="IntenseQuoteChar"/>
    <w:uiPriority w:val="30"/>
    <w:qFormat/>
    <w:rsid w:val="00FE42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2EF"/>
    <w:rPr>
      <w:i/>
      <w:iCs/>
      <w:color w:val="2E74B5" w:themeColor="accent1" w:themeShade="BF"/>
    </w:rPr>
  </w:style>
  <w:style w:type="character" w:styleId="IntenseReference">
    <w:name w:val="Intense Reference"/>
    <w:basedOn w:val="DefaultParagraphFont"/>
    <w:uiPriority w:val="32"/>
    <w:qFormat/>
    <w:rsid w:val="00FE42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