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B430" w14:textId="77777777" w:rsidR="00497369" w:rsidRPr="00497369" w:rsidRDefault="00497369">
      <w:pPr>
        <w:rPr>
          <w:b/>
        </w:rPr>
      </w:pPr>
      <w:r w:rsidRPr="00497369">
        <w:rPr>
          <w:b/>
        </w:rPr>
        <w:t>SASH - ( 'abnet , Strong's H73 )</w:t>
      </w:r>
    </w:p>
    <w:p w14:paraId="381AC489" w14:textId="77777777" w:rsidR="00497369" w:rsidRDefault="00497369">
      <w:r w:rsidRPr="00497369">
        <w:rPr>
          <w:b/>
        </w:rPr>
        <w:t>Summary:</w:t>
      </w:r>
    </w:p>
    <w:p w14:paraId="32E39751" w14:textId="77777777" w:rsidR="00497369" w:rsidRDefault="00497369">
      <w:r>
        <w:t>The Hebrew word 'abnet refers to a ceremonial sash, waistband, or belt worn exclusively by the high priest and the subordinate priests of Israel. This intricately crafted sash bound the flowing priestly tunic close to the body, securing it for active service within the tabernacle. Beyond its practical necessity of preventing tripping and preparing the priest for labor, the sash carried deep symbolic significance, representing readiness, official authority, dignity, and total consecration to the service of Yahweh.</w:t>
      </w:r>
    </w:p>
    <w:p w14:paraId="4BC8E72E" w14:textId="77777777" w:rsidR="00497369" w:rsidRDefault="00497369"/>
    <w:p w14:paraId="099F90DC" w14:textId="77777777" w:rsidR="00497369" w:rsidRDefault="00497369">
      <w:r w:rsidRPr="00497369">
        <w:rPr>
          <w:b/>
        </w:rPr>
        <w:t>Full Study:</w:t>
      </w:r>
    </w:p>
    <w:p w14:paraId="0C151C18" w14:textId="77777777" w:rsidR="00497369" w:rsidRDefault="00497369"/>
    <w:p w14:paraId="52EB57CC" w14:textId="77777777" w:rsidR="00497369" w:rsidRPr="00497369" w:rsidRDefault="00497369">
      <w:pPr>
        <w:rPr>
          <w:b/>
        </w:rPr>
      </w:pPr>
      <w:r w:rsidRPr="00497369">
        <w:rPr>
          <w:b/>
        </w:rPr>
        <w:t>1. Word Picture / Background</w:t>
      </w:r>
    </w:p>
    <w:p w14:paraId="32B27DB9" w14:textId="77777777" w:rsidR="00497369" w:rsidRDefault="00497369">
      <w:r>
        <w:t>• The term 'abnet is widely understood to be an ancient loanword, likely derived from Egyptian linguistic roots (bnd or obnet), meaning "to bind" or "band."</w:t>
      </w:r>
    </w:p>
    <w:p w14:paraId="354839F9" w14:textId="77777777" w:rsidR="00497369" w:rsidRDefault="00497369">
      <w:r>
        <w:t>• In the ancient Near East, loose, flowing robes were the standard daily attire. To engage in any form of physical labor, warfare, or sacred service, a person had to gather up their garments and secure them with a belt or sash. This practice, known as "girding the loins," was synonymous with preparation, focus, and diligent work.</w:t>
      </w:r>
    </w:p>
    <w:p w14:paraId="5D962A1B" w14:textId="77777777" w:rsidR="00497369" w:rsidRDefault="00497369">
      <w:r>
        <w:t>• For the Aaronic priesthood, the 'abnet was not a common leather strap or basic utility cord. It was a highly specialized, artistic textile crafted from fine twined linen and woven with blue, purple, and scarlet threads, mirroring the exact colors and materials used to construct the tabernacle curtains and the inner veil.</w:t>
      </w:r>
    </w:p>
    <w:p w14:paraId="20D3B59B" w14:textId="77777777" w:rsidR="00497369" w:rsidRDefault="00497369"/>
    <w:p w14:paraId="6F398D66" w14:textId="77777777" w:rsidR="00497369" w:rsidRPr="00497369" w:rsidRDefault="00497369">
      <w:pPr>
        <w:rPr>
          <w:b/>
        </w:rPr>
      </w:pPr>
      <w:r w:rsidRPr="00497369">
        <w:rPr>
          <w:b/>
        </w:rPr>
        <w:t>2. Meaning / Lexical Definition</w:t>
      </w:r>
    </w:p>
    <w:p w14:paraId="280C574D" w14:textId="77777777" w:rsidR="00497369" w:rsidRDefault="00497369">
      <w:r>
        <w:t>• The noun 'abnet designates a sash, belt, or girdle of office.</w:t>
      </w:r>
    </w:p>
    <w:p w14:paraId="460415F2" w14:textId="77777777" w:rsidR="00497369" w:rsidRDefault="00497369">
      <w:r>
        <w:t>• It is a technical term reserved almost exclusively for the sacred vestments of the Hebrew priesthood. It is distinct from ezor, which refers to a common belt worn by everyday citizens, soldiers, or prophets like Elijah.</w:t>
      </w:r>
    </w:p>
    <w:p w14:paraId="511E1101" w14:textId="77777777" w:rsidR="00497369" w:rsidRDefault="00497369">
      <w:r>
        <w:t>• The primary function of the 'abnet was to wrap around the priest's waist over the linen tunic (ketonet), serving as the structural anchor for his official garments.</w:t>
      </w:r>
    </w:p>
    <w:p w14:paraId="6FC4EC40" w14:textId="77777777" w:rsidR="00497369" w:rsidRDefault="00497369"/>
    <w:p w14:paraId="004C4C4B" w14:textId="77777777" w:rsidR="00497369" w:rsidRPr="00497369" w:rsidRDefault="00497369">
      <w:pPr>
        <w:rPr>
          <w:b/>
        </w:rPr>
      </w:pPr>
      <w:r w:rsidRPr="00497369">
        <w:rPr>
          <w:b/>
        </w:rPr>
        <w:t>3. Usage and Word Pictures</w:t>
      </w:r>
    </w:p>
    <w:p w14:paraId="696585EA" w14:textId="77777777" w:rsidR="00497369" w:rsidRDefault="00497369">
      <w:r>
        <w:t>• The word occurs 9 times in the Hebrew Bible, primarily in Exodus and Leviticus during the descriptions of the tabernacle setup and priestly consecration ceremonies.</w:t>
      </w:r>
    </w:p>
    <w:p w14:paraId="086B57AB" w14:textId="77777777" w:rsidR="00497369" w:rsidRDefault="00497369">
      <w:r>
        <w:t>• The sash served as a physical boundary, enclosing the core of the priest and signaling that he was bound to his sacred duties.</w:t>
      </w:r>
    </w:p>
    <w:p w14:paraId="73B8E83A" w14:textId="77777777" w:rsidR="00497369" w:rsidRDefault="00497369">
      <w:r>
        <w:t>• Figuratively, girding oneself with the sash represents transitioning from a state of leisure to a state of active, obedient service. Because it was tied tightly over the heart and midsection, it also pictured a servant guarding his inner motivations and keeping himself pure and focused for God's work.</w:t>
      </w:r>
    </w:p>
    <w:p w14:paraId="22BD3848" w14:textId="77777777" w:rsidR="00497369" w:rsidRDefault="00497369"/>
    <w:p w14:paraId="54C5B0FF" w14:textId="77777777" w:rsidR="00497369" w:rsidRPr="00497369" w:rsidRDefault="00497369">
      <w:pPr>
        <w:rPr>
          <w:b/>
        </w:rPr>
      </w:pPr>
      <w:r w:rsidRPr="00497369">
        <w:rPr>
          <w:b/>
        </w:rPr>
        <w:t>4. Theological Implications</w:t>
      </w:r>
    </w:p>
    <w:p w14:paraId="052D1F3B" w14:textId="77777777" w:rsidR="00497369" w:rsidRDefault="00497369">
      <w:r>
        <w:t>• The sash is listed among the garments designed "for glory and for beauty" (Exodus 28:2). Every element of the priestly wardrobe, including the sash, was meant to showcase the majestic holiness of God rather than the status of the human wearer.</w:t>
      </w:r>
    </w:p>
    <w:p w14:paraId="27E2FD65" w14:textId="77777777" w:rsidR="00497369" w:rsidRDefault="00497369">
      <w:r>
        <w:t>• By wearing a sash that shared the colors of the tabernacle itself, the priest functioned as a walking extension of the sanctuary. He carried the visual reminders of God's dwelling place on his very body.</w:t>
      </w:r>
    </w:p>
    <w:p w14:paraId="6D2D0B67" w14:textId="77777777" w:rsidR="00497369" w:rsidRDefault="00497369">
      <w:r>
        <w:t>• The concept of the sacred sash carries forward into messianic prophecy. Isaiah describes the coming Messiah as having righteousness and faithfulness as the girdle of his loins (Isaiah 11:5). In the New Testament, Christ appears in His heavenly priesthood clothed in a robe and girt about the chest with a golden sash (Heavily echoing the high priestly 'abnet in Revelation 1:13).</w:t>
      </w:r>
    </w:p>
    <w:p w14:paraId="56EEEF71" w14:textId="77777777" w:rsidR="00497369" w:rsidRDefault="00497369"/>
    <w:p w14:paraId="5C35AF0C" w14:textId="77777777" w:rsidR="00497369" w:rsidRPr="00497369" w:rsidRDefault="00497369">
      <w:pPr>
        <w:rPr>
          <w:b/>
        </w:rPr>
      </w:pPr>
      <w:r w:rsidRPr="00497369">
        <w:rPr>
          <w:b/>
        </w:rPr>
        <w:t>5. Contextual Nuance in the Passage</w:t>
      </w:r>
    </w:p>
    <w:p w14:paraId="44E96504" w14:textId="77777777" w:rsidR="00497369" w:rsidRDefault="00497369">
      <w:r>
        <w:t>• In Exodus 28:4, the sash is listed as one of the six essential garments that must be crafted before Aaron and his sons can officially minister to the Lord.</w:t>
      </w:r>
    </w:p>
    <w:p w14:paraId="3698A37E" w14:textId="77777777" w:rsidR="00497369" w:rsidRDefault="00497369">
      <w:r>
        <w:t>• The 'abnet must be distinguished from the "skillfully woven band" (chesheb) of the outer ephod. While the chesheb was integrated into the colorful outer apron, the 'abnet was worn directly over the white inner tunic.</w:t>
      </w:r>
    </w:p>
    <w:p w14:paraId="406124B4" w14:textId="77777777" w:rsidR="00497369" w:rsidRDefault="00497369">
      <w:r>
        <w:t>• Placing the sash in this foundational list highlights that God desires His servants to be organized, prepared, and properly aligned. Entering the presence of Yahweh with loose, unfastened garments would imply sloppiness, a lack of reverence, or unreadiness for the tasks of intercession and sacrifice.</w:t>
      </w:r>
    </w:p>
    <w:p w14:paraId="020070E0" w14:textId="77777777" w:rsidR="00497369" w:rsidRDefault="00497369"/>
    <w:p w14:paraId="4FD9ACD3" w14:textId="77777777" w:rsidR="00497369" w:rsidRPr="00497369" w:rsidRDefault="00497369">
      <w:pPr>
        <w:rPr>
          <w:b/>
        </w:rPr>
      </w:pPr>
      <w:r w:rsidRPr="00497369">
        <w:rPr>
          <w:b/>
        </w:rPr>
        <w:t>6. Key Uses in Other Verses (NKJV)</w:t>
      </w:r>
    </w:p>
    <w:p w14:paraId="4D9F5B95" w14:textId="77777777" w:rsidR="00497369" w:rsidRDefault="00497369">
      <w:r>
        <w:t>• Leviticus 8:7 - "And he put the tunic on him, girded him with the sash, clothed him with the robe, and put the ephod on him..."</w:t>
      </w:r>
    </w:p>
    <w:p w14:paraId="0A2383B1" w14:textId="77777777" w:rsidR="00497369" w:rsidRDefault="00497369">
      <w:r>
        <w:t>• Leviticus 16:4 - "He shall put the holy linen tunic and the linen trousers on his body; he shall be girded with a linen sash, and with the linen turban he shall be attired."</w:t>
      </w:r>
    </w:p>
    <w:p w14:paraId="1D39A66C" w14:textId="77777777" w:rsidR="00497369" w:rsidRDefault="00497369">
      <w:r>
        <w:t>• Isaiah 22:21 - "I will clothe him with your robe and strengthen him with your sash; I will commit your responsibility into his hand."</w:t>
      </w:r>
    </w:p>
    <w:p w14:paraId="1E47D6A6" w14:textId="77777777" w:rsidR="00497369" w:rsidRDefault="00497369"/>
    <w:p w14:paraId="05FF6C36" w14:textId="77777777" w:rsidR="00497369" w:rsidRPr="00497369" w:rsidRDefault="00497369">
      <w:pPr>
        <w:rPr>
          <w:b/>
        </w:rPr>
      </w:pPr>
      <w:r w:rsidRPr="00497369">
        <w:rPr>
          <w:b/>
        </w:rPr>
        <w:t>7. Other Relevant Insights</w:t>
      </w:r>
    </w:p>
    <w:p w14:paraId="7D28E4B6" w14:textId="77777777" w:rsidR="00497369" w:rsidRDefault="00497369">
      <w:r>
        <w:t>• Rabbinic tradition indicates that the priestly sash was remarkably long—up to 32 cubits (approximately 48 feet)—and was wound multiple times around the waist to provide firm core support. During active sacrificial duties, when the priest was moving quickly or lifting heavy offering portions, the long ends of the sash were thrown over his shoulder to prevent him from tripping.</w:t>
      </w:r>
    </w:p>
    <w:p w14:paraId="5DA1B233" w14:textId="77777777" w:rsidR="00497369" w:rsidRDefault="00497369">
      <w:r>
        <w:t>• On the Day of Atonement, the High Priest laid aside his colorful, gold-woven "garments of glory" and wore a simple, pure white linen 'abnet (Leviticus 16:4). This temporary shift from colorful majesty to pure white linen symbolized the deep humility, purity, and serious nature of entering the Holy of Holies to make atonement for sin.</w:t>
      </w:r>
    </w:p>
    <w:p w14:paraId="2E3DBFAF" w14:textId="77777777" w:rsidR="00497369" w:rsidRDefault="00497369"/>
    <w:p w14:paraId="275A17D1" w14:textId="77777777" w:rsidR="00497369" w:rsidRPr="00497369" w:rsidRDefault="00497369">
      <w:pPr>
        <w:rPr>
          <w:b/>
        </w:rPr>
      </w:pPr>
      <w:r w:rsidRPr="00497369">
        <w:rPr>
          <w:b/>
        </w:rPr>
        <w:t>8. References</w:t>
      </w:r>
    </w:p>
    <w:p w14:paraId="06E3D0DD" w14:textId="77777777" w:rsidR="00497369" w:rsidRDefault="00497369">
      <w:r>
        <w:t>• Brown, Driver, Briggs Hebrew and English Lexicon</w:t>
      </w:r>
    </w:p>
    <w:p w14:paraId="10E74BA7" w14:textId="77777777" w:rsidR="00497369" w:rsidRDefault="00497369">
      <w:r>
        <w:t>• Theological Wordbook of the Old Testament</w:t>
      </w:r>
    </w:p>
    <w:p w14:paraId="10D435AA" w14:textId="77777777" w:rsidR="00497369" w:rsidRDefault="00497369">
      <w:r>
        <w:t>• Gesenius' Hebrew and Chaldee Lexicon</w:t>
      </w:r>
    </w:p>
    <w:p w14:paraId="116BEDEF" w14:textId="77777777" w:rsidR="00497369" w:rsidRDefault="00497369">
      <w:r>
        <w:t>• Vine's Complete Expository Dictionary of Old and New Testament Words</w:t>
      </w:r>
    </w:p>
    <w:p w14:paraId="5EE1B837" w14:textId="608A47AD" w:rsidR="004C5552" w:rsidRDefault="00497369">
      <w:r>
        <w:t>• Keil and Delitzsch Commentary on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36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97369"/>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05F33"/>
  <w15:chartTrackingRefBased/>
  <w15:docId w15:val="{33D7F6FA-AEC4-43E3-9408-9DE4C8441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7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7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369"/>
    <w:rPr>
      <w:rFonts w:eastAsiaTheme="majorEastAsia" w:cstheme="majorBidi"/>
      <w:color w:val="272727" w:themeColor="text1" w:themeTint="D8"/>
    </w:rPr>
  </w:style>
  <w:style w:type="paragraph" w:styleId="Title">
    <w:name w:val="Title"/>
    <w:basedOn w:val="Normal"/>
    <w:next w:val="Normal"/>
    <w:link w:val="TitleChar"/>
    <w:uiPriority w:val="10"/>
    <w:qFormat/>
    <w:rsid w:val="00497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369"/>
    <w:pPr>
      <w:spacing w:before="160"/>
      <w:jc w:val="center"/>
    </w:pPr>
    <w:rPr>
      <w:i/>
      <w:iCs/>
      <w:color w:val="404040" w:themeColor="text1" w:themeTint="BF"/>
    </w:rPr>
  </w:style>
  <w:style w:type="character" w:customStyle="1" w:styleId="QuoteChar">
    <w:name w:val="Quote Char"/>
    <w:basedOn w:val="DefaultParagraphFont"/>
    <w:link w:val="Quote"/>
    <w:uiPriority w:val="29"/>
    <w:rsid w:val="00497369"/>
    <w:rPr>
      <w:i/>
      <w:iCs/>
      <w:color w:val="404040" w:themeColor="text1" w:themeTint="BF"/>
    </w:rPr>
  </w:style>
  <w:style w:type="paragraph" w:styleId="ListParagraph">
    <w:name w:val="List Paragraph"/>
    <w:basedOn w:val="Normal"/>
    <w:uiPriority w:val="34"/>
    <w:qFormat/>
    <w:rsid w:val="00497369"/>
    <w:pPr>
      <w:ind w:left="720"/>
      <w:contextualSpacing/>
    </w:pPr>
  </w:style>
  <w:style w:type="character" w:styleId="IntenseEmphasis">
    <w:name w:val="Intense Emphasis"/>
    <w:basedOn w:val="DefaultParagraphFont"/>
    <w:uiPriority w:val="21"/>
    <w:qFormat/>
    <w:rsid w:val="00497369"/>
    <w:rPr>
      <w:i/>
      <w:iCs/>
      <w:color w:val="2E74B5" w:themeColor="accent1" w:themeShade="BF"/>
    </w:rPr>
  </w:style>
  <w:style w:type="paragraph" w:styleId="IntenseQuote">
    <w:name w:val="Intense Quote"/>
    <w:basedOn w:val="Normal"/>
    <w:next w:val="Normal"/>
    <w:link w:val="IntenseQuoteChar"/>
    <w:uiPriority w:val="30"/>
    <w:qFormat/>
    <w:rsid w:val="004973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7369"/>
    <w:rPr>
      <w:i/>
      <w:iCs/>
      <w:color w:val="2E74B5" w:themeColor="accent1" w:themeShade="BF"/>
    </w:rPr>
  </w:style>
  <w:style w:type="character" w:styleId="IntenseReference">
    <w:name w:val="Intense Reference"/>
    <w:basedOn w:val="DefaultParagraphFont"/>
    <w:uiPriority w:val="32"/>
    <w:qFormat/>
    <w:rsid w:val="004973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